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81" w:rsidRPr="00C17E81" w:rsidRDefault="00C17E81" w:rsidP="00C17E81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E81">
        <w:rPr>
          <w:rFonts w:ascii="Times New Roman" w:hAnsi="Times New Roman" w:cs="Times New Roman"/>
          <w:b/>
          <w:sz w:val="28"/>
          <w:szCs w:val="28"/>
          <w:u w:val="single"/>
        </w:rPr>
        <w:t>НАЛОГОВЫЕ ВЫЧЕТЫ: СКОЛЬКО ДЕНЕГ МОЖНО ВЕРНУТЬ И ЗА ЧТО</w:t>
      </w:r>
    </w:p>
    <w:p w:rsidR="00C17E81" w:rsidRPr="00C17E81" w:rsidRDefault="00C17E81" w:rsidP="00C17E81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7E81">
        <w:rPr>
          <w:rFonts w:ascii="Times New Roman" w:hAnsi="Times New Roman" w:cs="Times New Roman"/>
          <w:b/>
          <w:i/>
          <w:sz w:val="20"/>
          <w:szCs w:val="20"/>
        </w:rPr>
        <w:t xml:space="preserve">Пресс-служба Профсоюза. 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>С первого января 2025 года действует ряд нововведений при оформлении социальных налоговых вычетов – выросли их размеры, изменились формы документов, появилась возможность получения вычетов в упрощенном порядке.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b/>
          <w:sz w:val="25"/>
          <w:szCs w:val="25"/>
        </w:rPr>
        <w:t>Что такое налоговый вычет?</w:t>
      </w:r>
      <w:r w:rsidRPr="00C17E81">
        <w:rPr>
          <w:rFonts w:ascii="Times New Roman" w:hAnsi="Times New Roman" w:cs="Times New Roman"/>
          <w:sz w:val="25"/>
          <w:szCs w:val="25"/>
        </w:rPr>
        <w:t xml:space="preserve"> Это сумма, которая уменьшает размер дохода, с которого уплачивается налог. Иногда это возврат части ранее уплаченного налога на доходы физического лица, например, в связи с покупкой квартиры, расходами на лечение, обучение, занятия фитнесом и т. д.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>Рабо</w:t>
      </w:r>
      <w:bookmarkStart w:id="0" w:name="_GoBack"/>
      <w:bookmarkEnd w:id="0"/>
      <w:r w:rsidRPr="00C17E81">
        <w:rPr>
          <w:rFonts w:ascii="Times New Roman" w:hAnsi="Times New Roman" w:cs="Times New Roman"/>
          <w:sz w:val="25"/>
          <w:szCs w:val="25"/>
        </w:rPr>
        <w:t>тникам, у которых доходы (такие как зарплата, отпускные, премии и прочие) являются основой налоговой базы и облагаются НДФЛ по ставке 13 %, предоставляется возможность снизить налогооблагаемую сумму благодаря стандартным налоговым вычетам.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17E81">
        <w:rPr>
          <w:rFonts w:ascii="Times New Roman" w:hAnsi="Times New Roman" w:cs="Times New Roman"/>
          <w:b/>
          <w:sz w:val="25"/>
          <w:szCs w:val="25"/>
        </w:rPr>
        <w:t>Стандартные вычеты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 xml:space="preserve">Налоговые вычеты делятся на виды и подвиды в зависимости от их целей. Размеры и условия их применения существенно различаются. Налоговым кодексом РФ предусмотрено несколько групп налоговых вычетов, в числе которых стандартные вычеты для льготных категорий граждан, а также лиц, на обеспечении которых находятся дети. Среди стандартных вычетов выделяются вычеты на детей (до 24 лет, если учатся на дневном </w:t>
      </w:r>
      <w:proofErr w:type="gramStart"/>
      <w:r w:rsidRPr="00C17E81">
        <w:rPr>
          <w:rFonts w:ascii="Times New Roman" w:hAnsi="Times New Roman" w:cs="Times New Roman"/>
          <w:sz w:val="25"/>
          <w:szCs w:val="25"/>
        </w:rPr>
        <w:t>отделении</w:t>
      </w:r>
      <w:proofErr w:type="gramEnd"/>
      <w:r w:rsidRPr="00C17E81">
        <w:rPr>
          <w:rFonts w:ascii="Times New Roman" w:hAnsi="Times New Roman" w:cs="Times New Roman"/>
          <w:sz w:val="25"/>
          <w:szCs w:val="25"/>
        </w:rPr>
        <w:t>), которыми могут воспользоваться оба родителя.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b/>
          <w:sz w:val="25"/>
          <w:szCs w:val="25"/>
        </w:rPr>
        <w:t>Обратите внимание, с 2025 года размеры вычетов увеличены</w:t>
      </w:r>
      <w:r w:rsidRPr="00C17E81">
        <w:rPr>
          <w:rFonts w:ascii="Times New Roman" w:hAnsi="Times New Roman" w:cs="Times New Roman"/>
          <w:sz w:val="25"/>
          <w:szCs w:val="25"/>
        </w:rPr>
        <w:t>: на первого ребенка 1 400 рублей (без изменений); на второго ребенка - 2 800 рублей вместо прежних 1 400 рублей; на третьего и последующих детей - 6 000 рублей вместо 3 000 рублей; на ребенка инвалида - 12 000 рублей вместо 6 000 рублей.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b/>
          <w:sz w:val="25"/>
          <w:szCs w:val="25"/>
        </w:rPr>
        <w:t>Лимит совокупного дохода</w:t>
      </w:r>
      <w:r w:rsidRPr="00C17E81">
        <w:rPr>
          <w:rFonts w:ascii="Times New Roman" w:hAnsi="Times New Roman" w:cs="Times New Roman"/>
          <w:sz w:val="25"/>
          <w:szCs w:val="25"/>
        </w:rPr>
        <w:t xml:space="preserve"> для использования таких вычетов также вырос и теперь составляет 450 000 рублей.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>Также вдвое – до 12 тысяч рублей – увеличен вычет опекунам, попечителям, приемным родителям на каждого ребенка, если несовершеннолетний ребенок является инвалидом. Эта же мера действует для учащихся очной формы обучения, аспирантов, ординаторов, интернов, студентов в возрасте до 24 лет, если они являются инвалидами I или II группы.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>Заявление от работника для получения вычета на ребенка не требуется. Работник обязан уведомлять работодателя только при изменении оснований для предоставления вычета, подтверждая изменения соответствующими документами (например, свидетельством о рождении, копией паспорта, справкой об инвалидности и другими).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17E81">
        <w:rPr>
          <w:rFonts w:ascii="Times New Roman" w:hAnsi="Times New Roman" w:cs="Times New Roman"/>
          <w:b/>
          <w:sz w:val="25"/>
          <w:szCs w:val="25"/>
        </w:rPr>
        <w:t>Социальные вычеты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>Налоговым кодексом предусмотрено пять видов социальных налоговых вычетов по расходам: на благотворительность, обучение, лечение и покупку лекарств, на негосударственное пенсионное обеспечение, добровольное пенсионное страхование и добровольное страхование жизни, на накопительную часть пенсии и физкультурно-оздоровительные услуги.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 xml:space="preserve">С начала 2025 года (по итогам 2024 года) можно заявить повышенные суммы расходов. </w:t>
      </w:r>
      <w:proofErr w:type="gramStart"/>
      <w:r w:rsidRPr="00C17E81">
        <w:rPr>
          <w:rFonts w:ascii="Times New Roman" w:hAnsi="Times New Roman" w:cs="Times New Roman"/>
          <w:sz w:val="25"/>
          <w:szCs w:val="25"/>
        </w:rPr>
        <w:t>Социальный вычет на обучение ребенка (подопечного) теперь предоставляется в размере 110 000 руб. (ранее было 50 000 руб.), а вычет на собственное обучение, лечение (в том числе членов семьи) и приобретение лекарств, физкультурно-оздоровительные 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таковые заключаются на срок</w:t>
      </w:r>
      <w:proofErr w:type="gramEnd"/>
      <w:r w:rsidRPr="00C17E81">
        <w:rPr>
          <w:rFonts w:ascii="Times New Roman" w:hAnsi="Times New Roman" w:cs="Times New Roman"/>
          <w:sz w:val="25"/>
          <w:szCs w:val="25"/>
        </w:rPr>
        <w:t xml:space="preserve"> не менее пяти лет) или по уплате дополнительных страховых взносов на накопительную пенсию – 150 000 руб. (ранее было 120 000 руб.).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17E81">
        <w:rPr>
          <w:rFonts w:ascii="Times New Roman" w:hAnsi="Times New Roman" w:cs="Times New Roman"/>
          <w:b/>
          <w:sz w:val="25"/>
          <w:szCs w:val="25"/>
        </w:rPr>
        <w:t>Сдача нормативов ГТО</w:t>
      </w:r>
    </w:p>
    <w:p w:rsidR="00C17E81" w:rsidRPr="00C17E81" w:rsidRDefault="00C17E81" w:rsidP="00C17E81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17E81">
        <w:rPr>
          <w:rFonts w:ascii="Times New Roman" w:hAnsi="Times New Roman" w:cs="Times New Roman"/>
          <w:sz w:val="25"/>
          <w:szCs w:val="25"/>
        </w:rPr>
        <w:t>Начиная с 2025 года, работники могут претендовать на стандартный налоговый вычет выполнение нормативов ГТО. Граждане России старше 18 лет, успешно прошедшие испытания Всероссийского физкультурно-спортивного комплекса «Готов к труду и обороне» и получившие знак отличия, соответствующий их возрастной категории, вправе рассчитывать на вычет в размере 18 000 рублей за налоговый период.</w:t>
      </w:r>
    </w:p>
    <w:p w:rsidR="00C17E81" w:rsidRPr="00C17E81" w:rsidRDefault="00C17E81" w:rsidP="00C17E8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7E81" w:rsidRPr="00C17E81" w:rsidSect="00C17E8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8B"/>
    <w:rsid w:val="0070017D"/>
    <w:rsid w:val="008D3E8B"/>
    <w:rsid w:val="00C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2025-01-22T01:54:00Z</dcterms:created>
  <dcterms:modified xsi:type="dcterms:W3CDTF">2025-01-22T02:01:00Z</dcterms:modified>
</cp:coreProperties>
</file>