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2023 год"</w:t>
              <w:br/>
              <w:t xml:space="preserve">(утв. решением Российской трехсторонней комиссии по регулированию социально-трудовых отношений от 23.12.2022, протокол N 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jc w:val="right"/>
      </w:pPr>
      <w:r>
        <w:rPr>
          <w:sz w:val="20"/>
        </w:rPr>
        <w:t xml:space="preserve">Утверждены</w:t>
      </w:r>
    </w:p>
    <w:p>
      <w:pPr>
        <w:pStyle w:val="0"/>
        <w:jc w:val="right"/>
      </w:pPr>
      <w:r>
        <w:rPr>
          <w:sz w:val="20"/>
        </w:rPr>
        <w:t xml:space="preserve">решением Российской трехсторонней</w:t>
      </w:r>
    </w:p>
    <w:p>
      <w:pPr>
        <w:pStyle w:val="0"/>
        <w:jc w:val="right"/>
      </w:pPr>
      <w:r>
        <w:rPr>
          <w:sz w:val="20"/>
        </w:rPr>
        <w:t xml:space="preserve">комиссии по регулированию</w:t>
      </w:r>
    </w:p>
    <w:p>
      <w:pPr>
        <w:pStyle w:val="0"/>
        <w:jc w:val="right"/>
      </w:pPr>
      <w:r>
        <w:rPr>
          <w:sz w:val="20"/>
        </w:rPr>
        <w:t xml:space="preserve">социально-трудовых отношений</w:t>
      </w:r>
    </w:p>
    <w:p>
      <w:pPr>
        <w:pStyle w:val="0"/>
        <w:jc w:val="right"/>
      </w:pPr>
      <w:r>
        <w:rPr>
          <w:sz w:val="20"/>
        </w:rPr>
        <w:t xml:space="preserve">от 23 декабря 2022 г., протокол N 11</w:t>
      </w:r>
    </w:p>
    <w:p>
      <w:pPr>
        <w:pStyle w:val="0"/>
        <w:jc w:val="right"/>
      </w:pPr>
      <w:r>
        <w:rPr>
          <w:sz w:val="20"/>
        </w:rPr>
      </w:r>
    </w:p>
    <w:p>
      <w:pPr>
        <w:pStyle w:val="0"/>
        <w:jc w:val="right"/>
      </w:pPr>
      <w:r>
        <w:rPr>
          <w:sz w:val="20"/>
        </w:rPr>
        <w:t xml:space="preserve">Координатор Российской трехсторонней</w:t>
      </w:r>
    </w:p>
    <w:p>
      <w:pPr>
        <w:pStyle w:val="0"/>
        <w:jc w:val="right"/>
      </w:pPr>
      <w:r>
        <w:rPr>
          <w:sz w:val="20"/>
        </w:rPr>
        <w:t xml:space="preserve">комиссии по регулированию</w:t>
      </w:r>
    </w:p>
    <w:p>
      <w:pPr>
        <w:pStyle w:val="0"/>
        <w:jc w:val="right"/>
      </w:pPr>
      <w:r>
        <w:rPr>
          <w:sz w:val="20"/>
        </w:rPr>
        <w:t xml:space="preserve">социально-трудовых отношений</w:t>
      </w:r>
    </w:p>
    <w:p>
      <w:pPr>
        <w:pStyle w:val="0"/>
        <w:jc w:val="right"/>
      </w:pPr>
      <w:r>
        <w:rPr>
          <w:sz w:val="20"/>
        </w:rPr>
        <w:t xml:space="preserve">Т.А.ГОЛИКОВА</w:t>
      </w:r>
    </w:p>
    <w:p>
      <w:pPr>
        <w:pStyle w:val="0"/>
        <w:jc w:val="right"/>
      </w:pPr>
      <w:r>
        <w:rPr>
          <w:sz w:val="20"/>
        </w:rPr>
      </w:r>
    </w:p>
    <w:p>
      <w:pPr>
        <w:pStyle w:val="0"/>
        <w:jc w:val="right"/>
      </w:pPr>
      <w:r>
        <w:rPr>
          <w:sz w:val="20"/>
        </w:rPr>
        <w:t xml:space="preserve">Координатор стороны Комиссии,</w:t>
      </w:r>
    </w:p>
    <w:p>
      <w:pPr>
        <w:pStyle w:val="0"/>
        <w:jc w:val="right"/>
      </w:pPr>
      <w:r>
        <w:rPr>
          <w:sz w:val="20"/>
        </w:rPr>
        <w:t xml:space="preserve">представляющей Правительство</w:t>
      </w:r>
    </w:p>
    <w:p>
      <w:pPr>
        <w:pStyle w:val="0"/>
        <w:jc w:val="right"/>
      </w:pPr>
      <w:r>
        <w:rPr>
          <w:sz w:val="20"/>
        </w:rPr>
        <w:t xml:space="preserve">Российской Федерации,</w:t>
      </w:r>
    </w:p>
    <w:p>
      <w:pPr>
        <w:pStyle w:val="0"/>
        <w:jc w:val="right"/>
      </w:pPr>
      <w:r>
        <w:rPr>
          <w:sz w:val="20"/>
        </w:rPr>
        <w:t xml:space="preserve">Министр труда и социальной</w:t>
      </w:r>
    </w:p>
    <w:p>
      <w:pPr>
        <w:pStyle w:val="0"/>
        <w:jc w:val="right"/>
      </w:pPr>
      <w:r>
        <w:rPr>
          <w:sz w:val="20"/>
        </w:rPr>
        <w:t xml:space="preserve">защиты Российской Федерации</w:t>
      </w:r>
    </w:p>
    <w:p>
      <w:pPr>
        <w:pStyle w:val="0"/>
        <w:jc w:val="right"/>
      </w:pPr>
      <w:r>
        <w:rPr>
          <w:sz w:val="20"/>
        </w:rPr>
        <w:t xml:space="preserve">А.О.КОТЯКОВ</w:t>
      </w:r>
    </w:p>
    <w:p>
      <w:pPr>
        <w:pStyle w:val="0"/>
        <w:jc w:val="right"/>
      </w:pPr>
      <w:r>
        <w:rPr>
          <w:sz w:val="20"/>
        </w:rPr>
      </w:r>
    </w:p>
    <w:p>
      <w:pPr>
        <w:pStyle w:val="0"/>
        <w:jc w:val="right"/>
      </w:pPr>
      <w:r>
        <w:rPr>
          <w:sz w:val="20"/>
        </w:rPr>
        <w:t xml:space="preserve">Координатор стороны Комиссии,</w:t>
      </w:r>
    </w:p>
    <w:p>
      <w:pPr>
        <w:pStyle w:val="0"/>
        <w:jc w:val="right"/>
      </w:pPr>
      <w:r>
        <w:rPr>
          <w:sz w:val="20"/>
        </w:rPr>
        <w:t xml:space="preserve">представляющей общероссийские</w:t>
      </w:r>
    </w:p>
    <w:p>
      <w:pPr>
        <w:pStyle w:val="0"/>
        <w:jc w:val="right"/>
      </w:pPr>
      <w:r>
        <w:rPr>
          <w:sz w:val="20"/>
        </w:rPr>
        <w:t xml:space="preserve">объединения профсоюзов, председатель</w:t>
      </w:r>
    </w:p>
    <w:p>
      <w:pPr>
        <w:pStyle w:val="0"/>
        <w:jc w:val="right"/>
      </w:pPr>
      <w:r>
        <w:rPr>
          <w:sz w:val="20"/>
        </w:rPr>
        <w:t xml:space="preserve">Общероссийского союза "Федерация</w:t>
      </w:r>
    </w:p>
    <w:p>
      <w:pPr>
        <w:pStyle w:val="0"/>
        <w:jc w:val="right"/>
      </w:pPr>
      <w:r>
        <w:rPr>
          <w:sz w:val="20"/>
        </w:rPr>
        <w:t xml:space="preserve">Независимых Профсоюзов России"</w:t>
      </w:r>
    </w:p>
    <w:p>
      <w:pPr>
        <w:pStyle w:val="0"/>
        <w:jc w:val="right"/>
      </w:pPr>
      <w:r>
        <w:rPr>
          <w:sz w:val="20"/>
        </w:rPr>
        <w:t xml:space="preserve">М.В.ШМАКОВ</w:t>
      </w:r>
    </w:p>
    <w:p>
      <w:pPr>
        <w:pStyle w:val="0"/>
        <w:jc w:val="right"/>
      </w:pPr>
      <w:r>
        <w:rPr>
          <w:sz w:val="20"/>
        </w:rPr>
      </w:r>
    </w:p>
    <w:p>
      <w:pPr>
        <w:pStyle w:val="0"/>
        <w:jc w:val="right"/>
      </w:pPr>
      <w:r>
        <w:rPr>
          <w:sz w:val="20"/>
        </w:rPr>
        <w:t xml:space="preserve">Координатор стороны Комиссии,</w:t>
      </w:r>
    </w:p>
    <w:p>
      <w:pPr>
        <w:pStyle w:val="0"/>
        <w:jc w:val="right"/>
      </w:pPr>
      <w:r>
        <w:rPr>
          <w:sz w:val="20"/>
        </w:rPr>
        <w:t xml:space="preserve">представляющей общероссийские</w:t>
      </w:r>
    </w:p>
    <w:p>
      <w:pPr>
        <w:pStyle w:val="0"/>
        <w:jc w:val="right"/>
      </w:pPr>
      <w:r>
        <w:rPr>
          <w:sz w:val="20"/>
        </w:rPr>
        <w:t xml:space="preserve">объединения работодателей,</w:t>
      </w:r>
    </w:p>
    <w:p>
      <w:pPr>
        <w:pStyle w:val="0"/>
        <w:jc w:val="right"/>
      </w:pPr>
      <w:r>
        <w:rPr>
          <w:sz w:val="20"/>
        </w:rPr>
        <w:t xml:space="preserve">президент Общероссийского</w:t>
      </w:r>
    </w:p>
    <w:p>
      <w:pPr>
        <w:pStyle w:val="0"/>
        <w:jc w:val="right"/>
      </w:pPr>
      <w:r>
        <w:rPr>
          <w:sz w:val="20"/>
        </w:rPr>
        <w:t xml:space="preserve">объединения работодателей</w:t>
      </w:r>
    </w:p>
    <w:p>
      <w:pPr>
        <w:pStyle w:val="0"/>
        <w:jc w:val="right"/>
      </w:pPr>
      <w:r>
        <w:rPr>
          <w:sz w:val="20"/>
        </w:rPr>
        <w:t xml:space="preserve">"Российский союз промышленников</w:t>
      </w:r>
    </w:p>
    <w:p>
      <w:pPr>
        <w:pStyle w:val="0"/>
        <w:jc w:val="right"/>
      </w:pPr>
      <w:r>
        <w:rPr>
          <w:sz w:val="20"/>
        </w:rPr>
        <w:t xml:space="preserve">и предпринимателей"</w:t>
      </w:r>
    </w:p>
    <w:p>
      <w:pPr>
        <w:pStyle w:val="0"/>
        <w:jc w:val="right"/>
      </w:pPr>
      <w:r>
        <w:rPr>
          <w:sz w:val="20"/>
        </w:rPr>
        <w:t xml:space="preserve">А.Н.ШОХИН</w:t>
      </w:r>
    </w:p>
    <w:p>
      <w:pPr>
        <w:pStyle w:val="0"/>
        <w:jc w:val="center"/>
      </w:pPr>
      <w:r>
        <w:rPr>
          <w:sz w:val="20"/>
        </w:rPr>
      </w:r>
    </w:p>
    <w:p>
      <w:pPr>
        <w:pStyle w:val="2"/>
        <w:jc w:val="center"/>
      </w:pPr>
      <w:r>
        <w:rPr>
          <w:sz w:val="20"/>
        </w:rPr>
        <w:t xml:space="preserve">ЕДИНЫЕ РЕКОМЕНДАЦИИ</w:t>
      </w:r>
    </w:p>
    <w:p>
      <w:pPr>
        <w:pStyle w:val="2"/>
        <w:jc w:val="center"/>
      </w:pPr>
      <w:r>
        <w:rPr>
          <w:sz w:val="20"/>
        </w:rPr>
        <w:t xml:space="preserve">ПО УСТАНОВЛЕНИЮ НА ФЕДЕРАЛЬНОМ, РЕГИОНАЛЬНОМ И МЕСТНОМ</w:t>
      </w:r>
    </w:p>
    <w:p>
      <w:pPr>
        <w:pStyle w:val="2"/>
        <w:jc w:val="center"/>
      </w:pPr>
      <w:r>
        <w:rPr>
          <w:sz w:val="20"/>
        </w:rPr>
        <w:t xml:space="preserve">УРОВНЯХ СИСТЕМ ОПЛАТЫ ТРУДА РАБОТНИКОВ ГОСУДАРСТВЕННЫХ</w:t>
      </w:r>
    </w:p>
    <w:p>
      <w:pPr>
        <w:pStyle w:val="2"/>
        <w:jc w:val="center"/>
      </w:pPr>
      <w:r>
        <w:rPr>
          <w:sz w:val="20"/>
        </w:rPr>
        <w:t xml:space="preserve">И МУНИЦИПАЛЬНЫХ УЧРЕЖДЕНИЙ НА 2023 ГОД</w:t>
      </w:r>
    </w:p>
    <w:p>
      <w:pPr>
        <w:pStyle w:val="0"/>
        <w:jc w:val="center"/>
      </w:pPr>
      <w:r>
        <w:rPr>
          <w:sz w:val="20"/>
        </w:rPr>
      </w:r>
    </w:p>
    <w:bookmarkStart w:id="40" w:name="P40"/>
    <w:bookmarkEnd w:id="40"/>
    <w:p>
      <w:pPr>
        <w:pStyle w:val="2"/>
        <w:outlineLvl w:val="0"/>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2023 год разработаны Российской трехсторонней комиссией по регулированию социально-трудовых отношений в соответствии со </w:t>
      </w:r>
      <w:hyperlink w:history="0" r:id="rId7"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статьей 135</w:t>
        </w:r>
      </w:hyperlink>
      <w:r>
        <w:rPr>
          <w:sz w:val="20"/>
        </w:rPr>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pPr>
        <w:pStyle w:val="0"/>
        <w:spacing w:before="200" w:line-rule="auto"/>
        <w:ind w:firstLine="540"/>
        <w:jc w:val="both"/>
      </w:pPr>
      <w:r>
        <w:rPr>
          <w:sz w:val="20"/>
        </w:rPr>
        <w:t xml:space="preserve">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pPr>
        <w:pStyle w:val="0"/>
        <w:spacing w:before="200" w:line-rule="auto"/>
        <w:ind w:firstLine="540"/>
        <w:jc w:val="both"/>
      </w:pPr>
      <w:r>
        <w:rPr>
          <w:sz w:val="20"/>
        </w:rPr>
        <w:t xml:space="preserve">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0"/>
        <w:spacing w:before="200" w:line-rule="auto"/>
        <w:ind w:firstLine="540"/>
        <w:jc w:val="both"/>
      </w:pPr>
      <w:r>
        <w:rPr>
          <w:sz w:val="20"/>
        </w:rPr>
        <w:t xml:space="preserve">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0"/>
        <w:spacing w:before="200" w:line-rule="auto"/>
        <w:ind w:firstLine="540"/>
        <w:jc w:val="both"/>
      </w:pPr>
      <w:r>
        <w:rPr>
          <w:sz w:val="20"/>
        </w:rPr>
        <w:t xml:space="preserve">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2023 году.</w:t>
      </w:r>
    </w:p>
    <w:p>
      <w:pPr>
        <w:pStyle w:val="0"/>
        <w:jc w:val="center"/>
      </w:pPr>
      <w:r>
        <w:rPr>
          <w:sz w:val="20"/>
        </w:rPr>
      </w:r>
    </w:p>
    <w:bookmarkStart w:id="48" w:name="P48"/>
    <w:bookmarkEnd w:id="48"/>
    <w:p>
      <w:pPr>
        <w:pStyle w:val="2"/>
        <w:outlineLvl w:val="0"/>
        <w:jc w:val="center"/>
      </w:pPr>
      <w:r>
        <w:rPr>
          <w:sz w:val="20"/>
        </w:rPr>
        <w:t xml:space="preserve">II. Принципы формирования федеральной, региональных</w:t>
      </w:r>
    </w:p>
    <w:p>
      <w:pPr>
        <w:pStyle w:val="2"/>
        <w:jc w:val="center"/>
      </w:pPr>
      <w:r>
        <w:rPr>
          <w:sz w:val="20"/>
        </w:rPr>
        <w:t xml:space="preserve">и муниципальных систем оплаты труда</w:t>
      </w:r>
    </w:p>
    <w:p>
      <w:pPr>
        <w:pStyle w:val="0"/>
        <w:jc w:val="center"/>
      </w:pPr>
      <w:r>
        <w:rPr>
          <w:sz w:val="20"/>
        </w:rPr>
      </w:r>
    </w:p>
    <w:p>
      <w:pPr>
        <w:pStyle w:val="0"/>
        <w:ind w:firstLine="540"/>
        <w:jc w:val="both"/>
      </w:pPr>
      <w:r>
        <w:rPr>
          <w:sz w:val="20"/>
        </w:rPr>
        <w:t xml:space="preserve">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pPr>
        <w:pStyle w:val="0"/>
        <w:spacing w:before="200" w:line-rule="auto"/>
        <w:ind w:firstLine="540"/>
        <w:jc w:val="both"/>
      </w:pPr>
      <w:r>
        <w:rPr>
          <w:sz w:val="20"/>
        </w:rPr>
        <w:t xml:space="preserve">а) верховенство </w:t>
      </w:r>
      <w:hyperlink w:history="0"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и общепризнанных принципов и норм международного права на всей территории Российской Федерации;</w:t>
      </w:r>
    </w:p>
    <w:p>
      <w:pPr>
        <w:pStyle w:val="0"/>
        <w:spacing w:before="200" w:line-rule="auto"/>
        <w:ind w:firstLine="540"/>
        <w:jc w:val="both"/>
      </w:pPr>
      <w:r>
        <w:rPr>
          <w:sz w:val="20"/>
        </w:rPr>
        <w:t xml:space="preserve">б) недопущение снижения размеров и (или) ухудшения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w:t>
      </w:r>
      <w:hyperlink w:history="0" r:id="rId9"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pPr>
        <w:pStyle w:val="0"/>
        <w:spacing w:before="200" w:line-rule="auto"/>
        <w:ind w:firstLine="540"/>
        <w:jc w:val="both"/>
      </w:pPr>
      <w:r>
        <w:rPr>
          <w:sz w:val="20"/>
        </w:rPr>
        <w:t xml:space="preserve">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pPr>
        <w:pStyle w:val="0"/>
        <w:spacing w:before="200" w:line-rule="auto"/>
        <w:ind w:firstLine="540"/>
        <w:jc w:val="both"/>
      </w:pPr>
      <w:r>
        <w:rPr>
          <w:sz w:val="20"/>
        </w:rPr>
        <w:t xml:space="preserve">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pPr>
        <w:pStyle w:val="0"/>
        <w:spacing w:before="200" w:line-rule="auto"/>
        <w:ind w:firstLine="540"/>
        <w:jc w:val="both"/>
      </w:pPr>
      <w:r>
        <w:rPr>
          <w:sz w:val="20"/>
        </w:rPr>
        <w:t xml:space="preserve">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pPr>
        <w:pStyle w:val="0"/>
        <w:spacing w:before="200" w:line-rule="auto"/>
        <w:ind w:firstLine="540"/>
        <w:jc w:val="both"/>
      </w:pPr>
      <w:r>
        <w:rPr>
          <w:sz w:val="20"/>
        </w:rPr>
        <w:t xml:space="preserve">е) обеспечение повышения уровня реального содержания заработной платы работников государственных и муниципальных учреждений, в том числе:</w:t>
      </w:r>
    </w:p>
    <w:p>
      <w:pPr>
        <w:pStyle w:val="0"/>
        <w:spacing w:before="200" w:line-rule="auto"/>
        <w:ind w:firstLine="540"/>
        <w:jc w:val="both"/>
      </w:pPr>
      <w:r>
        <w:rPr>
          <w:sz w:val="20"/>
        </w:rPr>
        <w:t xml:space="preserve">посредством индексации заработной платы в связи с ростом потребительских цен на товары и услуги, а также в связи с увеличением установленного федеральным законом минимального размера оплаты труда; не допускать снижения уровня заработной платы работников государственных и муниципальных учреждений, достигнутого в 2022 году;</w:t>
      </w:r>
    </w:p>
    <w:p>
      <w:pPr>
        <w:pStyle w:val="0"/>
        <w:spacing w:before="200" w:line-rule="auto"/>
        <w:ind w:firstLine="540"/>
        <w:jc w:val="both"/>
      </w:pPr>
      <w:r>
        <w:rPr>
          <w:sz w:val="20"/>
        </w:rPr>
        <w:t xml:space="preserve">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pPr>
        <w:pStyle w:val="0"/>
        <w:spacing w:before="200" w:line-rule="auto"/>
        <w:ind w:firstLine="540"/>
        <w:jc w:val="both"/>
      </w:pPr>
      <w:r>
        <w:rPr>
          <w:sz w:val="20"/>
        </w:rPr>
        <w:t xml:space="preserve">ж) 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0"/>
        <w:spacing w:before="200" w:line-rule="auto"/>
        <w:ind w:firstLine="540"/>
        <w:jc w:val="both"/>
      </w:pPr>
      <w:r>
        <w:rPr>
          <w:sz w:val="20"/>
        </w:rPr>
        <w:t xml:space="preserve">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w:history="0" r:id="rId10"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N 38-П</w:t>
        </w:r>
      </w:hyperlink>
      <w:r>
        <w:rPr>
          <w:sz w:val="20"/>
        </w:rPr>
        <w:t xml:space="preserve">, от 28 июня 2018 г. </w:t>
      </w:r>
      <w:hyperlink w:history="0" r:id="rId11"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N 26-П</w:t>
        </w:r>
      </w:hyperlink>
      <w:r>
        <w:rPr>
          <w:sz w:val="20"/>
        </w:rPr>
        <w:t xml:space="preserve">, от 11 апреля 2019 г. </w:t>
      </w:r>
      <w:hyperlink w:history="0" r:id="rId12"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rPr>
        <w:t xml:space="preserve"> и от 16 декабря 2019 г. </w:t>
      </w:r>
      <w:hyperlink w:history="0" r:id="rId13"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rPr>
        <w:t xml:space="preserve">,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pPr>
        <w:pStyle w:val="0"/>
        <w:spacing w:before="200" w:line-rule="auto"/>
        <w:ind w:firstLine="540"/>
        <w:jc w:val="both"/>
      </w:pPr>
      <w:r>
        <w:rPr>
          <w:sz w:val="20"/>
        </w:rPr>
        <w:t xml:space="preserve">з)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w:history="0" r:id="rId14"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N 38-П</w:t>
        </w:r>
      </w:hyperlink>
      <w:r>
        <w:rPr>
          <w:sz w:val="20"/>
        </w:rPr>
        <w:t xml:space="preserve">, от 28 июня 2018 г. </w:t>
      </w:r>
      <w:hyperlink w:history="0" r:id="rId15"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N 26-П</w:t>
        </w:r>
      </w:hyperlink>
      <w:r>
        <w:rPr>
          <w:sz w:val="20"/>
        </w:rPr>
        <w:t xml:space="preserve">, от 11 апреля 2019 г. </w:t>
      </w:r>
      <w:hyperlink w:history="0" r:id="rId16"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rPr>
        <w:t xml:space="preserve"> и от 16 декабря 2019 г. </w:t>
      </w:r>
      <w:hyperlink w:history="0" r:id="rId17"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rPr>
        <w:t xml:space="preserve">;</w:t>
      </w:r>
    </w:p>
    <w:p>
      <w:pPr>
        <w:pStyle w:val="0"/>
        <w:spacing w:before="200" w:line-rule="auto"/>
        <w:ind w:firstLine="540"/>
        <w:jc w:val="both"/>
      </w:pPr>
      <w:r>
        <w:rPr>
          <w:sz w:val="20"/>
        </w:rPr>
        <w:t xml:space="preserve">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pPr>
        <w:pStyle w:val="0"/>
        <w:jc w:val="center"/>
      </w:pPr>
      <w:r>
        <w:rPr>
          <w:sz w:val="20"/>
        </w:rPr>
      </w:r>
    </w:p>
    <w:p>
      <w:pPr>
        <w:pStyle w:val="2"/>
        <w:outlineLvl w:val="0"/>
        <w:jc w:val="center"/>
      </w:pPr>
      <w:r>
        <w:rPr>
          <w:sz w:val="20"/>
        </w:rPr>
        <w:t xml:space="preserve">III. Перечень норм и условий оплаты труда, регламентируемых</w:t>
      </w:r>
    </w:p>
    <w:p>
      <w:pPr>
        <w:pStyle w:val="2"/>
        <w:jc w:val="center"/>
      </w:pPr>
      <w:r>
        <w:rPr>
          <w:sz w:val="20"/>
        </w:rPr>
        <w:t xml:space="preserve">федеральными законами и иными нормативными правовыми актами</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5. Обязательными для применения на территории Российской Федерации являются следующие нормы и условия оплаты труда, установленные Трудовым </w:t>
      </w:r>
      <w:hyperlink w:history="0" r:id="rId18"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а) минимальный </w:t>
      </w:r>
      <w:hyperlink w:history="0" r:id="rId19"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w:t>
      </w:r>
      <w:hyperlink w:history="0" r:id="rId20"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N 38-П</w:t>
        </w:r>
      </w:hyperlink>
      <w:r>
        <w:rPr>
          <w:sz w:val="20"/>
        </w:rPr>
        <w:t xml:space="preserve">, от 28 июня 2018 г. </w:t>
      </w:r>
      <w:hyperlink w:history="0" r:id="rId21"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N 26-П</w:t>
        </w:r>
      </w:hyperlink>
      <w:r>
        <w:rPr>
          <w:sz w:val="20"/>
        </w:rPr>
        <w:t xml:space="preserve">, от 11 апреля 2019 г. </w:t>
      </w:r>
      <w:hyperlink w:history="0" r:id="rId22"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rPr>
        <w:t xml:space="preserve"> и от 16 декабря 2019 г. </w:t>
      </w:r>
      <w:hyperlink w:history="0" r:id="rId23"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rPr>
        <w:t xml:space="preserve">. В субъекте Российской Федерации региональным соглашением о минимальной заработной плате может устанавливаться </w:t>
      </w:r>
      <w:hyperlink w:history="0" r:id="rId24" w:tooltip="Справочная информация: &quot;Размеры минимальной заработной платы в субъектах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pPr>
        <w:pStyle w:val="0"/>
        <w:spacing w:before="200" w:line-rule="auto"/>
        <w:ind w:firstLine="540"/>
        <w:jc w:val="both"/>
      </w:pPr>
      <w:r>
        <w:rPr>
          <w:sz w:val="20"/>
        </w:rPr>
        <w:t xml:space="preserve">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w:history="0" r:id="rId25"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N 38-П</w:t>
        </w:r>
      </w:hyperlink>
      <w:r>
        <w:rPr>
          <w:sz w:val="20"/>
        </w:rPr>
        <w:t xml:space="preserve">, от 28 июня 2018 г. </w:t>
      </w:r>
      <w:hyperlink w:history="0" r:id="rId26"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N 26-П</w:t>
        </w:r>
      </w:hyperlink>
      <w:r>
        <w:rPr>
          <w:sz w:val="20"/>
        </w:rPr>
        <w:t xml:space="preserve">, от 11 апреля 2019 г. </w:t>
      </w:r>
      <w:hyperlink w:history="0" r:id="rId27"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rPr>
        <w:t xml:space="preserve"> и от 16 декабря 2019 г. </w:t>
      </w:r>
      <w:hyperlink w:history="0" r:id="rId28"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rPr>
        <w:t xml:space="preserve">,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0"/>
        <w:spacing w:before="200" w:line-rule="auto"/>
        <w:ind w:firstLine="540"/>
        <w:jc w:val="both"/>
      </w:pPr>
      <w:r>
        <w:rPr>
          <w:sz w:val="20"/>
        </w:rPr>
        <w:t xml:space="preserve">в) размеры </w:t>
      </w:r>
      <w:hyperlink w:history="0" r:id="rId29"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районных коэффициентов</w:t>
        </w:r>
      </w:hyperlink>
      <w:r>
        <w:rPr>
          <w:sz w:val="20"/>
        </w:rPr>
        <w:t xml:space="preserve">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pPr>
        <w:pStyle w:val="0"/>
        <w:spacing w:before="200" w:line-rule="auto"/>
        <w:ind w:firstLine="540"/>
        <w:jc w:val="both"/>
      </w:pPr>
      <w:r>
        <w:rPr>
          <w:sz w:val="20"/>
        </w:rPr>
        <w:t xml:space="preserve">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pPr>
        <w:pStyle w:val="0"/>
        <w:spacing w:before="200" w:line-rule="auto"/>
        <w:ind w:firstLine="540"/>
        <w:jc w:val="both"/>
      </w:pPr>
      <w:r>
        <w:rPr>
          <w:sz w:val="20"/>
        </w:rPr>
        <w:t xml:space="preserve">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w:t>
      </w:r>
      <w:hyperlink w:history="0" r:id="rId30" w:tooltip="Справочная информация: &quot;Районные коэффициенты и процентные надбавки, установленные для государственных органов и учреждений субъектов Российской Федерации, органов местного самоуправления и муниципальных учреждений&quot; (Материал подготовлен специалистами КонсультантПлюс) {КонсультантПлюс}">
        <w:r>
          <w:rPr>
            <w:sz w:val="20"/>
            <w:color w:val="0000ff"/>
          </w:rPr>
          <w:t xml:space="preserve">размеры</w:t>
        </w:r>
      </w:hyperlink>
      <w:r>
        <w:rPr>
          <w:sz w:val="20"/>
        </w:rPr>
        <w:t xml:space="preserve">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pPr>
        <w:pStyle w:val="0"/>
        <w:spacing w:before="200" w:line-rule="auto"/>
        <w:ind w:firstLine="540"/>
        <w:jc w:val="both"/>
      </w:pPr>
      <w:r>
        <w:rPr>
          <w:sz w:val="20"/>
        </w:rPr>
        <w:t xml:space="preserve">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w:t>
      </w:r>
      <w:hyperlink w:history="0" r:id="rId31"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Постановлении</w:t>
        </w:r>
      </w:hyperlink>
      <w:r>
        <w:rPr>
          <w:sz w:val="20"/>
        </w:rPr>
        <w:t xml:space="preserve"> от 7 декабря 2017 г. N 38-П.</w:t>
      </w:r>
    </w:p>
    <w:p>
      <w:pPr>
        <w:pStyle w:val="0"/>
        <w:spacing w:before="200" w:line-rule="auto"/>
        <w:ind w:firstLine="540"/>
        <w:jc w:val="both"/>
      </w:pPr>
      <w:r>
        <w:rPr>
          <w:sz w:val="20"/>
        </w:rPr>
        <w:t xml:space="preserve">Указанное </w:t>
      </w:r>
      <w:hyperlink w:history="0" r:id="rId32"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Постановление</w:t>
        </w:r>
      </w:hyperlink>
      <w:r>
        <w:rPr>
          <w:sz w:val="20"/>
        </w:rPr>
        <w:t xml:space="preserve">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pPr>
        <w:pStyle w:val="0"/>
        <w:spacing w:before="200" w:line-rule="auto"/>
        <w:ind w:firstLine="540"/>
        <w:jc w:val="both"/>
      </w:pPr>
      <w:r>
        <w:rPr>
          <w:sz w:val="20"/>
        </w:rPr>
        <w:t xml:space="preserve">г) размеры и условия установления повышенной оплаты труда работников, занятых на работах с вредными и (или) опасными условиями труда.</w:t>
      </w:r>
    </w:p>
    <w:p>
      <w:pPr>
        <w:pStyle w:val="0"/>
        <w:spacing w:before="200" w:line-rule="auto"/>
        <w:ind w:firstLine="540"/>
        <w:jc w:val="both"/>
      </w:pPr>
      <w:r>
        <w:rPr>
          <w:sz w:val="20"/>
        </w:rPr>
        <w:t xml:space="preserve">Размеры повышенной оплаты труда работников, занятых на работах с вредными и (или) опасными условиями труда, не могут быть снижены, 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w:t>
      </w:r>
      <w:hyperlink w:history="0" r:id="rId33" w:tooltip="Федеральный закон от 28.12.2013 N 426-ФЗ (ред. от 24.07.2023) &quot;О специальной оценке условий труда&quot; (с изм. и доп., вступ. в силу с 01.09.2023) {КонсультантПлюс}">
        <w:r>
          <w:rPr>
            <w:sz w:val="20"/>
            <w:color w:val="0000ff"/>
          </w:rPr>
          <w:t xml:space="preserve">закона</w:t>
        </w:r>
      </w:hyperlink>
      <w:r>
        <w:rPr>
          <w:sz w:val="20"/>
        </w:rPr>
        <w:t xml:space="preserve"> от 28 декабря 2013 г. N 426-ФЗ "О специальной оценке условий труда" с учетом изменений, внесенных Федеральным </w:t>
      </w:r>
      <w:hyperlink w:history="0" r:id="rId3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26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pPr>
        <w:pStyle w:val="0"/>
        <w:spacing w:before="200" w:line-rule="auto"/>
        <w:ind w:firstLine="540"/>
        <w:jc w:val="both"/>
      </w:pPr>
      <w:r>
        <w:rPr>
          <w:sz w:val="20"/>
        </w:rPr>
        <w:t xml:space="preserve">д) Единый тарифно-квалификационный </w:t>
      </w:r>
      <w:hyperlink w:history="0" r:id="rId35"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0"/>
            <w:color w:val="0000ff"/>
          </w:rPr>
          <w:t xml:space="preserve">справочник</w:t>
        </w:r>
      </w:hyperlink>
      <w:r>
        <w:rPr>
          <w:sz w:val="20"/>
        </w:rPr>
        <w:t xml:space="preserve">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w:t>
      </w:r>
      <w:hyperlink w:history="0" r:id="rId36"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0"/>
            <w:color w:val="0000ff"/>
          </w:rPr>
          <w:t xml:space="preserve">справочник</w:t>
        </w:r>
      </w:hyperlink>
      <w:r>
        <w:rPr>
          <w:sz w:val="20"/>
        </w:rPr>
        <w:t xml:space="preserve">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w:t>
      </w:r>
      <w:hyperlink w:history="0" r:id="rId37"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w:t>
      </w:r>
    </w:p>
    <w:p>
      <w:pPr>
        <w:pStyle w:val="0"/>
        <w:spacing w:before="200" w:line-rule="auto"/>
        <w:ind w:firstLine="540"/>
        <w:jc w:val="both"/>
      </w:pPr>
      <w:r>
        <w:rPr>
          <w:sz w:val="20"/>
        </w:rPr>
        <w:t xml:space="preserve">Если в соответствии с Трудовым </w:t>
      </w:r>
      <w:hyperlink w:history="0" r:id="rId38"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pPr>
        <w:pStyle w:val="0"/>
        <w:jc w:val="center"/>
      </w:pPr>
      <w:r>
        <w:rPr>
          <w:sz w:val="20"/>
        </w:rPr>
      </w:r>
    </w:p>
    <w:bookmarkStart w:id="82" w:name="P82"/>
    <w:bookmarkEnd w:id="82"/>
    <w:p>
      <w:pPr>
        <w:pStyle w:val="2"/>
        <w:outlineLvl w:val="0"/>
        <w:jc w:val="center"/>
      </w:pPr>
      <w:r>
        <w:rPr>
          <w:sz w:val="20"/>
        </w:rPr>
        <w:t xml:space="preserve">IV. Системы оплаты труда работников государственных</w:t>
      </w:r>
    </w:p>
    <w:p>
      <w:pPr>
        <w:pStyle w:val="2"/>
        <w:jc w:val="center"/>
      </w:pPr>
      <w:r>
        <w:rPr>
          <w:sz w:val="20"/>
        </w:rPr>
        <w:t xml:space="preserve">и муниципальных учреждений</w:t>
      </w:r>
    </w:p>
    <w:p>
      <w:pPr>
        <w:pStyle w:val="0"/>
        <w:jc w:val="center"/>
      </w:pPr>
      <w:r>
        <w:rPr>
          <w:sz w:val="20"/>
        </w:rPr>
      </w:r>
    </w:p>
    <w:p>
      <w:pPr>
        <w:pStyle w:val="0"/>
        <w:ind w:firstLine="540"/>
        <w:jc w:val="both"/>
      </w:pPr>
      <w:r>
        <w:rPr>
          <w:sz w:val="20"/>
        </w:rPr>
        <w:t xml:space="preserve">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pPr>
        <w:pStyle w:val="0"/>
        <w:spacing w:before="200" w:line-rule="auto"/>
        <w:ind w:firstLine="540"/>
        <w:jc w:val="both"/>
      </w:pPr>
      <w:r>
        <w:rPr>
          <w:sz w:val="20"/>
        </w:rPr>
        <w:t xml:space="preserve">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pPr>
        <w:pStyle w:val="0"/>
        <w:spacing w:before="200" w:line-rule="auto"/>
        <w:ind w:firstLine="540"/>
        <w:jc w:val="both"/>
      </w:pPr>
      <w:r>
        <w:rPr>
          <w:sz w:val="20"/>
        </w:rPr>
        <w:t xml:space="preserve">а) недопущения в 2023 году снижения установленных указами Президента Российской Федерации от 7 мая 2012 г. </w:t>
      </w:r>
      <w:hyperlink w:history="0" r:id="rId39"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N 597</w:t>
        </w:r>
      </w:hyperlink>
      <w:r>
        <w:rPr>
          <w:sz w:val="20"/>
        </w:rPr>
        <w:t xml:space="preserve"> "О мероприятиях по реализации государственной социальной политики", от 1 июня 2012 г. </w:t>
      </w:r>
      <w:hyperlink w:history="0" r:id="rId40" w:tooltip="Указ Президента РФ от 01.06.2012 N 761 &quot;О Национальной стратегии действий в интересах детей на 2012 - 2017 годы&quot; {КонсультантПлюс}">
        <w:r>
          <w:rPr>
            <w:sz w:val="20"/>
            <w:color w:val="0000ff"/>
          </w:rPr>
          <w:t xml:space="preserve">N 761</w:t>
        </w:r>
      </w:hyperlink>
      <w:r>
        <w:rPr>
          <w:sz w:val="20"/>
        </w:rPr>
        <w:t xml:space="preserve"> "О Национальной стратегии действий в интересах детей на 2012 - 2017 годы" и от 28 декабря 2012 г. </w:t>
      </w:r>
      <w:hyperlink w:history="0" r:id="rId41" w:tooltip="Указ Президента РФ от 28.12.2012 N 1688 (ред. от 14.11.2017) &quot;О некоторых мерах по реализации государственной политики в сфере защиты детей-сирот и детей, оставшихся без попечения родителей&quot; {КонсультантПлюс}">
        <w:r>
          <w:rPr>
            <w:sz w:val="20"/>
            <w:color w:val="0000ff"/>
          </w:rPr>
          <w:t xml:space="preserve">N 1688</w:t>
        </w:r>
      </w:hyperlink>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Указами Президента Российской Федерации от 7 мая 2018 г. </w:t>
      </w:r>
      <w:hyperlink w:history="0" r:id="rId42"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на период до 2024 года" и от 21 июля 2020 г. </w:t>
      </w:r>
      <w:hyperlink w:history="0" r:id="rId43"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N 474</w:t>
        </w:r>
      </w:hyperlink>
      <w:r>
        <w:rPr>
          <w:sz w:val="20"/>
        </w:rPr>
        <w:t xml:space="preserve"> "О национальных целях развития Российской Федерации на период до 2030 года";</w:t>
      </w:r>
    </w:p>
    <w:p>
      <w:pPr>
        <w:pStyle w:val="0"/>
        <w:spacing w:before="200" w:line-rule="auto"/>
        <w:ind w:firstLine="540"/>
        <w:jc w:val="both"/>
      </w:pPr>
      <w:r>
        <w:rPr>
          <w:sz w:val="20"/>
        </w:rPr>
        <w:t xml:space="preserve">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pPr>
        <w:pStyle w:val="0"/>
        <w:spacing w:before="200" w:line-rule="auto"/>
        <w:ind w:firstLine="540"/>
        <w:jc w:val="both"/>
      </w:pPr>
      <w:r>
        <w:rPr>
          <w:sz w:val="20"/>
        </w:rPr>
        <w:t xml:space="preserve">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pPr>
        <w:pStyle w:val="0"/>
        <w:spacing w:before="200" w:line-rule="auto"/>
        <w:ind w:firstLine="540"/>
        <w:jc w:val="both"/>
      </w:pPr>
      <w:r>
        <w:rPr>
          <w:sz w:val="20"/>
        </w:rPr>
        <w:t xml:space="preserve">г) 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в постановлениях от 7 декабря 2017 г. </w:t>
      </w:r>
      <w:hyperlink w:history="0" r:id="rId44"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N 38-П</w:t>
        </w:r>
      </w:hyperlink>
      <w:r>
        <w:rPr>
          <w:sz w:val="20"/>
        </w:rPr>
        <w:t xml:space="preserve">, от 28 июня 2018 г. </w:t>
      </w:r>
      <w:hyperlink w:history="0" r:id="rId45"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N 26-П</w:t>
        </w:r>
      </w:hyperlink>
      <w:r>
        <w:rPr>
          <w:sz w:val="20"/>
        </w:rPr>
        <w:t xml:space="preserve">, от 11 апреля 2019 г. </w:t>
      </w:r>
      <w:hyperlink w:history="0" r:id="rId46"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rPr>
        <w:t xml:space="preserve"> и от 16 декабря 2019 г. </w:t>
      </w:r>
      <w:hyperlink w:history="0" r:id="rId47"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rPr>
        <w:t xml:space="preserve">,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pPr>
        <w:pStyle w:val="0"/>
        <w:spacing w:before="200" w:line-rule="auto"/>
        <w:ind w:firstLine="540"/>
        <w:jc w:val="both"/>
      </w:pPr>
      <w:r>
        <w:rPr>
          <w:sz w:val="20"/>
        </w:rPr>
        <w:t xml:space="preserve">д) 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 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
    <w:p>
      <w:pPr>
        <w:pStyle w:val="0"/>
        <w:spacing w:before="200" w:line-rule="auto"/>
        <w:ind w:firstLine="540"/>
        <w:jc w:val="both"/>
      </w:pPr>
      <w:r>
        <w:rPr>
          <w:sz w:val="20"/>
        </w:rPr>
        <w:t xml:space="preserve">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w:history="0" r:id="rId48"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N 38-П</w:t>
        </w:r>
      </w:hyperlink>
      <w:r>
        <w:rPr>
          <w:sz w:val="20"/>
        </w:rPr>
        <w:t xml:space="preserve">, от 28 июня 2018 г. </w:t>
      </w:r>
      <w:hyperlink w:history="0" r:id="rId49"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N 26-П</w:t>
        </w:r>
      </w:hyperlink>
      <w:r>
        <w:rPr>
          <w:sz w:val="20"/>
        </w:rPr>
        <w:t xml:space="preserve">, от 11 апреля 2019 г. </w:t>
      </w:r>
      <w:hyperlink w:history="0" r:id="rId50"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rPr>
        <w:t xml:space="preserve"> и от 16 декабря 2019 г. </w:t>
      </w:r>
      <w:hyperlink w:history="0" r:id="rId51"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rPr>
        <w:t xml:space="preserve">,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0"/>
        <w:spacing w:before="200" w:line-rule="auto"/>
        <w:ind w:firstLine="540"/>
        <w:jc w:val="both"/>
      </w:pPr>
      <w:r>
        <w:rPr>
          <w:sz w:val="20"/>
        </w:rPr>
        <w:t xml:space="preserve">ж)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з)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w:t>
      </w:r>
      <w:hyperlink w:history="0" r:id="rId52"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N 38-П</w:t>
        </w:r>
      </w:hyperlink>
      <w:r>
        <w:rPr>
          <w:sz w:val="20"/>
        </w:rPr>
        <w:t xml:space="preserve">, от 28 июня 2018 г. </w:t>
      </w:r>
      <w:hyperlink w:history="0" r:id="rId53"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N 26-П</w:t>
        </w:r>
      </w:hyperlink>
      <w:r>
        <w:rPr>
          <w:sz w:val="20"/>
        </w:rPr>
        <w:t xml:space="preserve">, от 11 апреля 2019 г. </w:t>
      </w:r>
      <w:hyperlink w:history="0" r:id="rId54"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rPr>
        <w:t xml:space="preserve"> и от 16 декабря 2019 г. </w:t>
      </w:r>
      <w:hyperlink w:history="0" r:id="rId55"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rPr>
        <w:t xml:space="preserve">;</w:t>
      </w:r>
    </w:p>
    <w:bookmarkStart w:id="98" w:name="P98"/>
    <w:bookmarkEnd w:id="98"/>
    <w:p>
      <w:pPr>
        <w:pStyle w:val="0"/>
        <w:spacing w:before="200" w:line-rule="auto"/>
        <w:ind w:firstLine="540"/>
        <w:jc w:val="both"/>
      </w:pPr>
      <w:r>
        <w:rPr>
          <w:sz w:val="20"/>
        </w:rPr>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w:history="0" r:id="rId56"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N 38-П</w:t>
        </w:r>
      </w:hyperlink>
      <w:r>
        <w:rPr>
          <w:sz w:val="20"/>
        </w:rPr>
        <w:t xml:space="preserve">, от 28 июня 2018 г. </w:t>
      </w:r>
      <w:hyperlink w:history="0" r:id="rId57"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N 26-П</w:t>
        </w:r>
      </w:hyperlink>
      <w:r>
        <w:rPr>
          <w:sz w:val="20"/>
        </w:rPr>
        <w:t xml:space="preserve">, от 11 апреля 2019 г. </w:t>
      </w:r>
      <w:hyperlink w:history="0" r:id="rId58"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rPr>
        <w:t xml:space="preserve"> и от 16 декабря 2019 г. </w:t>
      </w:r>
      <w:hyperlink w:history="0" r:id="rId59"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rPr>
        <w:t xml:space="preserve">,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0"/>
        <w:spacing w:before="200" w:line-rule="auto"/>
        <w:ind w:firstLine="540"/>
        <w:jc w:val="both"/>
      </w:pPr>
      <w:r>
        <w:rPr>
          <w:sz w:val="20"/>
        </w:rPr>
        <w:t xml:space="preserve">к) мнения соответствующего выборного органа первичной профсоюзной организации и соответствующих профсоюзов (объединений профсоюзов);</w:t>
      </w:r>
    </w:p>
    <w:p>
      <w:pPr>
        <w:pStyle w:val="0"/>
        <w:spacing w:before="200" w:line-rule="auto"/>
        <w:ind w:firstLine="540"/>
        <w:jc w:val="both"/>
      </w:pPr>
      <w:r>
        <w:rPr>
          <w:sz w:val="20"/>
        </w:rPr>
        <w:t xml:space="preserve">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pPr>
        <w:pStyle w:val="0"/>
        <w:spacing w:before="200" w:line-rule="auto"/>
        <w:ind w:firstLine="540"/>
        <w:jc w:val="both"/>
      </w:pPr>
      <w:r>
        <w:rPr>
          <w:sz w:val="20"/>
        </w:rPr>
        <w:t xml:space="preserve">м)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pPr>
        <w:pStyle w:val="0"/>
        <w:spacing w:before="200" w:line-rule="auto"/>
        <w:ind w:firstLine="540"/>
        <w:jc w:val="both"/>
      </w:pPr>
      <w:r>
        <w:rPr>
          <w:sz w:val="20"/>
        </w:rPr>
        <w:t xml:space="preserve">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pPr>
        <w:pStyle w:val="0"/>
        <w:spacing w:before="200" w:line-rule="auto"/>
        <w:ind w:firstLine="540"/>
        <w:jc w:val="both"/>
      </w:pPr>
      <w:r>
        <w:rPr>
          <w:sz w:val="20"/>
        </w:rPr>
        <w:t xml:space="preserve">О введении новых норм труда работники должны быть извещены не позднее чем за 2 месяца.</w:t>
      </w:r>
    </w:p>
    <w:p>
      <w:pPr>
        <w:pStyle w:val="0"/>
        <w:spacing w:before="200" w:line-rule="auto"/>
        <w:ind w:firstLine="540"/>
        <w:jc w:val="both"/>
      </w:pPr>
      <w:r>
        <w:rPr>
          <w:sz w:val="20"/>
        </w:rPr>
        <w:t xml:space="preserve">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w:t>
      </w:r>
      <w:hyperlink w:history="0" r:id="rId60" w:tooltip="Указ Президента РФ от 11.05.2020 N 316 &quot;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quot; {КонсультантПлюс}">
        <w:r>
          <w:rPr>
            <w:sz w:val="20"/>
            <w:color w:val="0000ff"/>
          </w:rPr>
          <w:t xml:space="preserve">Указом</w:t>
        </w:r>
      </w:hyperlink>
      <w:r>
        <w:rPr>
          <w:sz w:val="20"/>
        </w:rPr>
        <w:t xml:space="preserve"> Президента Российской Федерации от 11 мая 2020 г.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p>
      <w:pPr>
        <w:pStyle w:val="0"/>
        <w:spacing w:before="200" w:line-rule="auto"/>
        <w:ind w:firstLine="540"/>
        <w:jc w:val="both"/>
      </w:pPr>
      <w:r>
        <w:rPr>
          <w:sz w:val="20"/>
        </w:rPr>
        <w:t xml:space="preserve">Выполнение работником трудовой функции дистанционно не может являться основанием для снижения ему заработной платы.</w:t>
      </w:r>
    </w:p>
    <w:p>
      <w:pPr>
        <w:pStyle w:val="0"/>
        <w:spacing w:before="200" w:line-rule="auto"/>
        <w:ind w:firstLine="540"/>
        <w:jc w:val="both"/>
      </w:pPr>
      <w:r>
        <w:rPr>
          <w:sz w:val="20"/>
        </w:rPr>
        <w:t xml:space="preserve">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(наград), ученой степени, право на его изменение возникает в следующие сроки:</w:t>
      </w:r>
    </w:p>
    <w:p>
      <w:pPr>
        <w:pStyle w:val="0"/>
        <w:spacing w:before="200" w:line-rule="auto"/>
        <w:ind w:firstLine="540"/>
        <w:jc w:val="both"/>
      </w:pPr>
      <w:r>
        <w:rPr>
          <w:sz w:val="20"/>
        </w:rPr>
        <w:t xml:space="preserve">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pPr>
        <w:pStyle w:val="0"/>
        <w:spacing w:before="200" w:line-rule="auto"/>
        <w:ind w:firstLine="540"/>
        <w:jc w:val="both"/>
      </w:pPr>
      <w:r>
        <w:rPr>
          <w:sz w:val="20"/>
        </w:rPr>
        <w:t xml:space="preserve">при получении образования или восстановлении документов об образовании - со дня представления соответствующего документа;</w:t>
      </w:r>
    </w:p>
    <w:p>
      <w:pPr>
        <w:pStyle w:val="0"/>
        <w:spacing w:before="200" w:line-rule="auto"/>
        <w:ind w:firstLine="540"/>
        <w:jc w:val="both"/>
      </w:pPr>
      <w:r>
        <w:rPr>
          <w:sz w:val="20"/>
        </w:rPr>
        <w:t xml:space="preserve">при установлении или присвоении квалификационной категории - со дня вынесения решения аттестационной комиссией;</w:t>
      </w:r>
    </w:p>
    <w:p>
      <w:pPr>
        <w:pStyle w:val="0"/>
        <w:spacing w:before="200" w:line-rule="auto"/>
        <w:ind w:firstLine="540"/>
        <w:jc w:val="both"/>
      </w:pPr>
      <w:r>
        <w:rPr>
          <w:sz w:val="20"/>
        </w:rPr>
        <w:t xml:space="preserve">при присвоении почетного звания, награждении ведомственными знаками отличия (наград) - со дня присвоения, награждения;</w:t>
      </w:r>
    </w:p>
    <w:p>
      <w:pPr>
        <w:pStyle w:val="0"/>
        <w:spacing w:before="200" w:line-rule="auto"/>
        <w:ind w:firstLine="540"/>
        <w:jc w:val="both"/>
      </w:pPr>
      <w:r>
        <w:rPr>
          <w:sz w:val="20"/>
        </w:rPr>
        <w:t xml:space="preserve">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pPr>
        <w:pStyle w:val="0"/>
        <w:spacing w:before="200" w:line-rule="auto"/>
        <w:ind w:firstLine="540"/>
        <w:jc w:val="both"/>
      </w:pPr>
      <w:r>
        <w:rPr>
          <w:sz w:val="20"/>
        </w:rPr>
        <w:t xml:space="preserve">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pPr>
        <w:pStyle w:val="0"/>
        <w:jc w:val="center"/>
      </w:pPr>
      <w:r>
        <w:rPr>
          <w:sz w:val="20"/>
        </w:rPr>
      </w:r>
    </w:p>
    <w:bookmarkStart w:id="114" w:name="P114"/>
    <w:bookmarkEnd w:id="114"/>
    <w:p>
      <w:pPr>
        <w:pStyle w:val="2"/>
        <w:outlineLvl w:val="0"/>
        <w:jc w:val="center"/>
      </w:pPr>
      <w:r>
        <w:rPr>
          <w:sz w:val="20"/>
        </w:rPr>
        <w:t xml:space="preserve">V. Системы оплаты труда работников федеральных</w:t>
      </w:r>
    </w:p>
    <w:p>
      <w:pPr>
        <w:pStyle w:val="2"/>
        <w:jc w:val="center"/>
      </w:pPr>
      <w:r>
        <w:rPr>
          <w:sz w:val="20"/>
        </w:rPr>
        <w:t xml:space="preserve">государственных учреждений</w:t>
      </w:r>
    </w:p>
    <w:p>
      <w:pPr>
        <w:pStyle w:val="0"/>
        <w:jc w:val="center"/>
      </w:pPr>
      <w:r>
        <w:rPr>
          <w:sz w:val="20"/>
        </w:rPr>
      </w:r>
    </w:p>
    <w:p>
      <w:pPr>
        <w:pStyle w:val="0"/>
        <w:ind w:firstLine="540"/>
        <w:jc w:val="both"/>
      </w:pPr>
      <w:r>
        <w:rPr>
          <w:sz w:val="20"/>
        </w:rPr>
        <w:t xml:space="preserve">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w:t>
      </w:r>
      <w:hyperlink w:history="0" w:anchor="P48" w:tooltip="II. Принципы формирования федеральной, региональных">
        <w:r>
          <w:rPr>
            <w:sz w:val="20"/>
            <w:color w:val="0000ff"/>
          </w:rPr>
          <w:t xml:space="preserve">разделах II</w:t>
        </w:r>
      </w:hyperlink>
      <w:r>
        <w:rPr>
          <w:sz w:val="20"/>
        </w:rPr>
        <w:t xml:space="preserve"> - </w:t>
      </w:r>
      <w:hyperlink w:history="0" w:anchor="P82" w:tooltip="IV. Системы оплаты труда работников государственных">
        <w:r>
          <w:rPr>
            <w:sz w:val="20"/>
            <w:color w:val="0000ff"/>
          </w:rPr>
          <w:t xml:space="preserve">IV</w:t>
        </w:r>
      </w:hyperlink>
      <w:r>
        <w:rPr>
          <w:sz w:val="20"/>
        </w:rPr>
        <w:t xml:space="preserve"> настоящих рекомендаций, требованиями 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w:t>
      </w:r>
      <w:hyperlink w:history="0" r:id="rId61" w:tooltip="Постановление Правительства РФ от 05.08.2008 N 583 (ред. от 19.01.2019) &quot;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 {КонсультантПлюс}">
        <w:r>
          <w:rPr>
            <w:sz w:val="20"/>
            <w:color w:val="0000ff"/>
          </w:rPr>
          <w:t xml:space="preserve">Положение</w:t>
        </w:r>
      </w:hyperlink>
      <w:r>
        <w:rPr>
          <w:sz w:val="20"/>
        </w:rPr>
        <w:t xml:space="preserve">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pPr>
        <w:pStyle w:val="0"/>
        <w:spacing w:before="200" w:line-rule="auto"/>
        <w:ind w:firstLine="540"/>
        <w:jc w:val="both"/>
      </w:pPr>
      <w:r>
        <w:rPr>
          <w:sz w:val="20"/>
        </w:rPr>
        <w:t xml:space="preserve">10. Системы оплаты труда работников учреждений устанавливаются и изменяются с учетом:</w:t>
      </w:r>
    </w:p>
    <w:p>
      <w:pPr>
        <w:pStyle w:val="0"/>
        <w:spacing w:before="200" w:line-rule="auto"/>
        <w:ind w:firstLine="540"/>
        <w:jc w:val="both"/>
      </w:pPr>
      <w:r>
        <w:rPr>
          <w:sz w:val="20"/>
        </w:rPr>
        <w:t xml:space="preserve">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pPr>
        <w:pStyle w:val="0"/>
        <w:spacing w:before="200" w:line-rule="auto"/>
        <w:ind w:firstLine="540"/>
        <w:jc w:val="both"/>
      </w:pPr>
      <w:r>
        <w:rPr>
          <w:sz w:val="20"/>
        </w:rPr>
        <w:t xml:space="preserve">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w:t>
      </w:r>
      <w:hyperlink w:history="0" r:id="rId62"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N 38-П</w:t>
        </w:r>
      </w:hyperlink>
      <w:r>
        <w:rPr>
          <w:sz w:val="20"/>
        </w:rPr>
        <w:t xml:space="preserve">, от 28 июня 2018 г. </w:t>
      </w:r>
      <w:hyperlink w:history="0" r:id="rId63"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N 26-П</w:t>
        </w:r>
      </w:hyperlink>
      <w:r>
        <w:rPr>
          <w:sz w:val="20"/>
        </w:rPr>
        <w:t xml:space="preserve">, от 11 апреля 2019 г. </w:t>
      </w:r>
      <w:hyperlink w:history="0" r:id="rId64"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rPr>
        <w:t xml:space="preserve"> и от 16 декабря 2019 г. </w:t>
      </w:r>
      <w:hyperlink w:history="0" r:id="rId65"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rPr>
        <w:t xml:space="preserve">;</w:t>
      </w:r>
    </w:p>
    <w:p>
      <w:pPr>
        <w:pStyle w:val="0"/>
        <w:spacing w:before="200" w:line-rule="auto"/>
        <w:ind w:firstLine="540"/>
        <w:jc w:val="both"/>
      </w:pPr>
      <w:r>
        <w:rPr>
          <w:sz w:val="20"/>
        </w:rPr>
        <w:t xml:space="preserve">в) утверждаемых Правительством Российской Федерации требований к системам оплаты труда работников государственных и муниципальных учреждений;</w:t>
      </w:r>
    </w:p>
    <w:p>
      <w:pPr>
        <w:pStyle w:val="0"/>
        <w:spacing w:before="200" w:line-rule="auto"/>
        <w:ind w:firstLine="540"/>
        <w:jc w:val="both"/>
      </w:pPr>
      <w:r>
        <w:rPr>
          <w:sz w:val="20"/>
        </w:rPr>
        <w:t xml:space="preserve">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pPr>
        <w:pStyle w:val="0"/>
        <w:spacing w:before="200" w:line-rule="auto"/>
        <w:ind w:firstLine="540"/>
        <w:jc w:val="both"/>
      </w:pPr>
      <w:r>
        <w:rPr>
          <w:sz w:val="20"/>
        </w:rPr>
        <w:t xml:space="preserve">з) </w:t>
      </w:r>
      <w:hyperlink w:history="0" r:id="rId66" w:tooltip="Приказ Госкорпорации &quot;Роскосмос&quot; от 11.07.2023 N 229 &quot;Об утверждении Положения об оплате труда работников федерального казенного учреждения, подведомственного Государственной корпорации по космической деятельности &quot;Роскосмос&quot;, по виду экономической деятельности: &quot;Деятельность заказчика-застройщика, генерального подрядчика&quot; (Зарегистрировано в Минюсте России 17.08.2023 N 74847) {КонсультантПлюс}">
        <w:r>
          <w:rPr>
            <w:sz w:val="20"/>
            <w:color w:val="0000ff"/>
          </w:rPr>
          <w:t xml:space="preserve">положений</w:t>
        </w:r>
      </w:hyperlink>
      <w:r>
        <w:rPr>
          <w:sz w:val="20"/>
        </w:rPr>
        <w:t xml:space="preserve">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pPr>
        <w:pStyle w:val="0"/>
        <w:spacing w:before="200" w:line-rule="auto"/>
        <w:ind w:firstLine="540"/>
        <w:jc w:val="both"/>
      </w:pPr>
      <w:r>
        <w:rPr>
          <w:sz w:val="20"/>
        </w:rPr>
        <w:t xml:space="preserve">и) настоящих рекомендаций;</w:t>
      </w:r>
    </w:p>
    <w:p>
      <w:pPr>
        <w:pStyle w:val="0"/>
        <w:spacing w:before="200" w:line-rule="auto"/>
        <w:ind w:firstLine="540"/>
        <w:jc w:val="both"/>
      </w:pPr>
      <w:r>
        <w:rPr>
          <w:sz w:val="20"/>
        </w:rPr>
        <w:t xml:space="preserve">к) мнения выборного органа первичной профсоюзной организации.</w:t>
      </w:r>
    </w:p>
    <w:p>
      <w:pPr>
        <w:pStyle w:val="0"/>
        <w:spacing w:before="200" w:line-rule="auto"/>
        <w:ind w:firstLine="540"/>
        <w:jc w:val="both"/>
      </w:pPr>
      <w:r>
        <w:rPr>
          <w:sz w:val="20"/>
        </w:rPr>
        <w:t xml:space="preserve">11. 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w:history="0" r:id="rId67"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N 38-П</w:t>
        </w:r>
      </w:hyperlink>
      <w:r>
        <w:rPr>
          <w:sz w:val="20"/>
        </w:rPr>
        <w:t xml:space="preserve">, от 28 июня 2018 г. </w:t>
      </w:r>
      <w:hyperlink w:history="0" r:id="rId68"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N 26-П</w:t>
        </w:r>
      </w:hyperlink>
      <w:r>
        <w:rPr>
          <w:sz w:val="20"/>
        </w:rPr>
        <w:t xml:space="preserve">, от 11 апреля 2019 г. </w:t>
      </w:r>
      <w:hyperlink w:history="0" r:id="rId69"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rPr>
        <w:t xml:space="preserve"> и от 16 декабря 2019 г. </w:t>
      </w:r>
      <w:hyperlink w:history="0" r:id="rId70"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rPr>
        <w:t xml:space="preserve">,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0"/>
        <w:spacing w:before="200" w:line-rule="auto"/>
        <w:ind w:firstLine="540"/>
        <w:jc w:val="both"/>
      </w:pPr>
      <w:r>
        <w:rPr>
          <w:sz w:val="20"/>
        </w:rPr>
        <w:t xml:space="preserve">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 указанном положении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pPr>
        <w:pStyle w:val="0"/>
        <w:spacing w:before="200" w:line-rule="auto"/>
        <w:ind w:firstLine="540"/>
        <w:jc w:val="both"/>
      </w:pPr>
      <w:r>
        <w:rPr>
          <w:sz w:val="20"/>
        </w:rPr>
        <w:t xml:space="preserve">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pPr>
        <w:pStyle w:val="0"/>
        <w:spacing w:before="200" w:line-rule="auto"/>
        <w:ind w:firstLine="540"/>
        <w:jc w:val="both"/>
      </w:pPr>
      <w:r>
        <w:rPr>
          <w:sz w:val="20"/>
        </w:rPr>
        <w:t xml:space="preserve">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pPr>
        <w:pStyle w:val="0"/>
        <w:spacing w:before="200" w:line-rule="auto"/>
        <w:ind w:firstLine="540"/>
        <w:jc w:val="both"/>
      </w:pPr>
      <w:r>
        <w:rPr>
          <w:sz w:val="20"/>
        </w:rPr>
        <w:t xml:space="preserve">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pPr>
        <w:pStyle w:val="0"/>
        <w:spacing w:before="200" w:line-rule="auto"/>
        <w:ind w:firstLine="540"/>
        <w:jc w:val="both"/>
      </w:pPr>
      <w:r>
        <w:rPr>
          <w:sz w:val="20"/>
        </w:rPr>
        <w:t xml:space="preserve">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pPr>
        <w:pStyle w:val="0"/>
        <w:spacing w:before="200" w:line-rule="auto"/>
        <w:ind w:firstLine="540"/>
        <w:jc w:val="both"/>
      </w:pPr>
      <w:r>
        <w:rPr>
          <w:sz w:val="20"/>
        </w:rPr>
        <w:t xml:space="preserve">Работодатели принимают меры по улучшению условий труда работников с учетом результатов специальной оценки условий труда;</w:t>
      </w:r>
    </w:p>
    <w:p>
      <w:pPr>
        <w:pStyle w:val="0"/>
        <w:spacing w:before="200" w:line-rule="auto"/>
        <w:ind w:firstLine="540"/>
        <w:jc w:val="both"/>
      </w:pPr>
      <w:r>
        <w:rPr>
          <w:sz w:val="20"/>
        </w:rPr>
        <w:t xml:space="preserve">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 </w:t>
      </w:r>
      <w:hyperlink w:history="0" r:id="rId71"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N 38-П</w:t>
        </w:r>
      </w:hyperlink>
      <w:r>
        <w:rPr>
          <w:sz w:val="20"/>
        </w:rPr>
        <w:t xml:space="preserve">, от 28 июня 2018 г. </w:t>
      </w:r>
      <w:hyperlink w:history="0" r:id="rId72"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N 26-П</w:t>
        </w:r>
      </w:hyperlink>
      <w:r>
        <w:rPr>
          <w:sz w:val="20"/>
        </w:rPr>
        <w:t xml:space="preserve">, от 11 апреля 2019 г. </w:t>
      </w:r>
      <w:hyperlink w:history="0" r:id="rId73"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rPr>
        <w:t xml:space="preserve"> и от 16 декабря 2019 г. </w:t>
      </w:r>
      <w:hyperlink w:history="0" r:id="rId74"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rPr>
        <w:t xml:space="preserve">;</w:t>
      </w:r>
    </w:p>
    <w:p>
      <w:pPr>
        <w:pStyle w:val="0"/>
        <w:spacing w:before="200" w:line-rule="auto"/>
        <w:ind w:firstLine="540"/>
        <w:jc w:val="both"/>
      </w:pPr>
      <w:r>
        <w:rPr>
          <w:sz w:val="20"/>
        </w:rPr>
        <w:t xml:space="preserve">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w:t>
      </w:r>
      <w:hyperlink w:history="0" r:id="rId75" w:tooltip="Постановление Конституционного Суда РФ от 07.12.2017 N 38-П &quot;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Дейдей, Н.А. Капуриной и И.Я. Кураш&quot; {КонсультантПлюс}">
        <w:r>
          <w:rPr>
            <w:sz w:val="20"/>
            <w:color w:val="0000ff"/>
          </w:rPr>
          <w:t xml:space="preserve">Постановлении</w:t>
        </w:r>
      </w:hyperlink>
      <w:r>
        <w:rPr>
          <w:sz w:val="20"/>
        </w:rPr>
        <w:t xml:space="preserve"> от 7 декабря 2017 г. N 38-П;</w:t>
      </w:r>
    </w:p>
    <w:p>
      <w:pPr>
        <w:pStyle w:val="0"/>
        <w:spacing w:before="200" w:line-rule="auto"/>
        <w:ind w:firstLine="540"/>
        <w:jc w:val="both"/>
      </w:pPr>
      <w:r>
        <w:rPr>
          <w:sz w:val="20"/>
        </w:rPr>
        <w:t xml:space="preserve">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pPr>
        <w:pStyle w:val="0"/>
        <w:spacing w:before="200" w:line-rule="auto"/>
        <w:ind w:firstLine="540"/>
        <w:jc w:val="both"/>
      </w:pPr>
      <w:r>
        <w:rPr>
          <w:sz w:val="20"/>
        </w:rPr>
        <w:t xml:space="preserve">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pPr>
        <w:pStyle w:val="0"/>
        <w:spacing w:before="200" w:line-rule="auto"/>
        <w:ind w:firstLine="540"/>
        <w:jc w:val="both"/>
      </w:pPr>
      <w:r>
        <w:rPr>
          <w:sz w:val="20"/>
        </w:rPr>
        <w:t xml:space="preserve">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pPr>
        <w:pStyle w:val="0"/>
        <w:spacing w:before="200" w:line-rule="auto"/>
        <w:ind w:firstLine="540"/>
        <w:jc w:val="both"/>
      </w:pPr>
      <w:r>
        <w:rPr>
          <w:sz w:val="20"/>
        </w:rPr>
        <w:t xml:space="preserve">Разработка показателей и критериев эффективности работы осуществляется с учетом следующих принципов:</w:t>
      </w:r>
    </w:p>
    <w:p>
      <w:pPr>
        <w:pStyle w:val="0"/>
        <w:spacing w:before="200" w:line-rule="auto"/>
        <w:ind w:firstLine="540"/>
        <w:jc w:val="both"/>
      </w:pPr>
      <w:r>
        <w:rPr>
          <w:sz w:val="20"/>
        </w:rPr>
        <w:t xml:space="preserve">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pPr>
        <w:pStyle w:val="0"/>
        <w:spacing w:before="200" w:line-rule="auto"/>
        <w:ind w:firstLine="540"/>
        <w:jc w:val="both"/>
      </w:pPr>
      <w:r>
        <w:rPr>
          <w:sz w:val="20"/>
        </w:rPr>
        <w:t xml:space="preserve">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pPr>
        <w:pStyle w:val="0"/>
        <w:spacing w:before="200" w:line-rule="auto"/>
        <w:ind w:firstLine="540"/>
        <w:jc w:val="both"/>
      </w:pPr>
      <w:r>
        <w:rPr>
          <w:sz w:val="20"/>
        </w:rPr>
        <w:t xml:space="preserve">в) адекватность - вознаграждение должно быть адекватно трудовому вкладу каждого работника в результат коллективного труда;</w:t>
      </w:r>
    </w:p>
    <w:p>
      <w:pPr>
        <w:pStyle w:val="0"/>
        <w:spacing w:before="200" w:line-rule="auto"/>
        <w:ind w:firstLine="540"/>
        <w:jc w:val="both"/>
      </w:pPr>
      <w:r>
        <w:rPr>
          <w:sz w:val="20"/>
        </w:rPr>
        <w:t xml:space="preserve">г) своевременность - вознаграждение должно следовать за достижением результатов;</w:t>
      </w:r>
    </w:p>
    <w:p>
      <w:pPr>
        <w:pStyle w:val="0"/>
        <w:spacing w:before="200" w:line-rule="auto"/>
        <w:ind w:firstLine="540"/>
        <w:jc w:val="both"/>
      </w:pPr>
      <w:r>
        <w:rPr>
          <w:sz w:val="20"/>
        </w:rPr>
        <w:t xml:space="preserve">д) прозрачность - правила определения вознаграждения должны быть понятны каждому работнику.</w:t>
      </w:r>
    </w:p>
    <w:p>
      <w:pPr>
        <w:pStyle w:val="0"/>
        <w:spacing w:before="200" w:line-rule="auto"/>
        <w:ind w:firstLine="540"/>
        <w:jc w:val="both"/>
      </w:pPr>
      <w:r>
        <w:rPr>
          <w:sz w:val="20"/>
        </w:rPr>
        <w:t xml:space="preserve">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pPr>
        <w:pStyle w:val="0"/>
        <w:spacing w:before="200" w:line-rule="auto"/>
        <w:ind w:firstLine="540"/>
        <w:jc w:val="both"/>
      </w:pPr>
      <w:r>
        <w:rPr>
          <w:sz w:val="20"/>
        </w:rPr>
        <w:t xml:space="preserve">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pPr>
        <w:pStyle w:val="0"/>
        <w:spacing w:before="200" w:line-rule="auto"/>
        <w:ind w:firstLine="540"/>
        <w:jc w:val="both"/>
      </w:pPr>
      <w:r>
        <w:rPr>
          <w:sz w:val="20"/>
        </w:rPr>
        <w:t xml:space="preserve">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pPr>
        <w:pStyle w:val="0"/>
        <w:spacing w:before="200" w:line-rule="auto"/>
        <w:ind w:firstLine="540"/>
        <w:jc w:val="both"/>
      </w:pPr>
      <w:r>
        <w:rPr>
          <w:sz w:val="20"/>
        </w:rPr>
        <w:t xml:space="preserve">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pPr>
        <w:pStyle w:val="0"/>
        <w:spacing w:before="200" w:line-rule="auto"/>
        <w:ind w:firstLine="540"/>
        <w:jc w:val="both"/>
      </w:pPr>
      <w:r>
        <w:rPr>
          <w:sz w:val="20"/>
        </w:rPr>
        <w:t xml:space="preserve">20. При заключении трудовых договоров с работниками рекомендуется использовать примерную </w:t>
      </w:r>
      <w:hyperlink w:history="0" r:id="rId76" w:tooltip="Распоряжение Правительства РФ от 26.11.2012 N 2190-р (ред. от 14.09.2015) &lt;Об утверждении Программы поэтапного совершенствования системы оплаты труда в государственных (муниципальных) учреждениях на 2012 - 2018 годы&gt; {КонсультантПлюс}">
        <w:r>
          <w:rPr>
            <w:sz w:val="20"/>
            <w:color w:val="0000ff"/>
          </w:rPr>
          <w:t xml:space="preserve">форму</w:t>
        </w:r>
      </w:hyperlink>
      <w:r>
        <w:rPr>
          <w:sz w:val="20"/>
        </w:rPr>
        <w:t xml:space="preserve"> трудового договора с работником учреждения, приведенную в приложении N 3 к Программе поэтапного совершенствования системы оплаты труда в государственных (муниципальных) учреждениях на 2012 - 2018 годы, и </w:t>
      </w:r>
      <w:hyperlink w:history="0" r:id="rId77" w:tooltip="Приказ Минтруда России от 26.04.2013 N 167н (ред. от 20.02.2014) &quot;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quot; {КонсультантПлюс}">
        <w:r>
          <w:rPr>
            <w:sz w:val="20"/>
            <w:color w:val="0000ff"/>
          </w:rPr>
          <w:t xml:space="preserve">рекомендации</w:t>
        </w:r>
      </w:hyperlink>
      <w:r>
        <w:rPr>
          <w:sz w:val="20"/>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N 167н.</w:t>
      </w:r>
    </w:p>
    <w:p>
      <w:pPr>
        <w:pStyle w:val="0"/>
        <w:jc w:val="center"/>
      </w:pPr>
      <w:r>
        <w:rPr>
          <w:sz w:val="20"/>
        </w:rPr>
      </w:r>
    </w:p>
    <w:p>
      <w:pPr>
        <w:pStyle w:val="2"/>
        <w:outlineLvl w:val="0"/>
        <w:jc w:val="center"/>
      </w:pPr>
      <w:r>
        <w:rPr>
          <w:sz w:val="20"/>
        </w:rPr>
        <w:t xml:space="preserve">VI. Системы оплаты труда руководителей</w:t>
      </w:r>
    </w:p>
    <w:p>
      <w:pPr>
        <w:pStyle w:val="2"/>
        <w:jc w:val="center"/>
      </w:pPr>
      <w:r>
        <w:rPr>
          <w:sz w:val="20"/>
        </w:rPr>
        <w:t xml:space="preserve">государственных и муниципальных учреждений, их заместителей</w:t>
      </w:r>
    </w:p>
    <w:p>
      <w:pPr>
        <w:pStyle w:val="2"/>
        <w:jc w:val="center"/>
      </w:pPr>
      <w:r>
        <w:rPr>
          <w:sz w:val="20"/>
        </w:rPr>
        <w:t xml:space="preserve">и главных бухгалтеров</w:t>
      </w:r>
    </w:p>
    <w:p>
      <w:pPr>
        <w:pStyle w:val="0"/>
        <w:jc w:val="center"/>
      </w:pPr>
      <w:r>
        <w:rPr>
          <w:sz w:val="20"/>
        </w:rPr>
      </w:r>
    </w:p>
    <w:p>
      <w:pPr>
        <w:pStyle w:val="0"/>
        <w:ind w:firstLine="540"/>
        <w:jc w:val="both"/>
      </w:pPr>
      <w:r>
        <w:rPr>
          <w:sz w:val="20"/>
        </w:rPr>
        <w:t xml:space="preserve">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pPr>
        <w:pStyle w:val="0"/>
        <w:spacing w:before="200" w:line-rule="auto"/>
        <w:ind w:firstLine="540"/>
        <w:jc w:val="both"/>
      </w:pPr>
      <w:r>
        <w:rPr>
          <w:sz w:val="20"/>
        </w:rPr>
        <w:t xml:space="preserve">22. 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pPr>
        <w:pStyle w:val="0"/>
        <w:spacing w:before="200" w:line-rule="auto"/>
        <w:ind w:firstLine="540"/>
        <w:jc w:val="both"/>
      </w:pPr>
      <w:r>
        <w:rPr>
          <w:sz w:val="20"/>
        </w:rPr>
        <w:t xml:space="preserve">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pPr>
        <w:pStyle w:val="0"/>
        <w:spacing w:before="200" w:line-rule="auto"/>
        <w:ind w:firstLine="540"/>
        <w:jc w:val="both"/>
      </w:pPr>
      <w:r>
        <w:rPr>
          <w:sz w:val="20"/>
        </w:rPr>
        <w:t xml:space="preserve">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pPr>
        <w:pStyle w:val="0"/>
        <w:spacing w:before="200" w:line-rule="auto"/>
        <w:ind w:firstLine="540"/>
        <w:jc w:val="both"/>
      </w:pPr>
      <w:r>
        <w:rPr>
          <w:sz w:val="20"/>
        </w:rPr>
        <w:t xml:space="preserve">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hyperlink w:history="0" r:id="rId78"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pPr>
        <w:pStyle w:val="0"/>
        <w:spacing w:before="200" w:line-rule="auto"/>
        <w:ind w:firstLine="540"/>
        <w:jc w:val="both"/>
      </w:pPr>
      <w:r>
        <w:rPr>
          <w:sz w:val="20"/>
        </w:rPr>
        <w:t xml:space="preserve">Трудовой договор с руководителем государственного (муниципального) учреждения заключается в соответствии с типовой </w:t>
      </w:r>
      <w:hyperlink w:history="0" r:id="rId79" w:tooltip="Постановление Правительства РФ от 12.04.2013 N 329 (ред. от 09.11.2018) &quot;О типовой форме трудового договора с руководителем государственного (муниципального) учреждения&quot; {КонсультантПлюс}">
        <w:r>
          <w:rPr>
            <w:sz w:val="20"/>
            <w:color w:val="0000ff"/>
          </w:rPr>
          <w:t xml:space="preserve">формой</w:t>
        </w:r>
      </w:hyperlink>
      <w:r>
        <w:rPr>
          <w:sz w:val="20"/>
        </w:rPr>
        <w:t xml:space="preserve"> трудового договора с руководителем государственного (муниципального) учреждения, утвержденной в соответствии с </w:t>
      </w:r>
      <w:hyperlink w:history="0" r:id="rId80"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частью третьей статьи 275</w:t>
        </w:r>
      </w:hyperlink>
      <w:r>
        <w:rPr>
          <w:sz w:val="20"/>
        </w:rPr>
        <w:t xml:space="preserve"> Трудового кодекса Российской Федерации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bookmarkStart w:id="163" w:name="P163"/>
    <w:bookmarkEnd w:id="163"/>
    <w:p>
      <w:pPr>
        <w:pStyle w:val="0"/>
        <w:spacing w:before="200" w:line-rule="auto"/>
        <w:ind w:firstLine="540"/>
        <w:jc w:val="both"/>
      </w:pPr>
      <w:r>
        <w:rPr>
          <w:sz w:val="20"/>
        </w:rPr>
        <w:t xml:space="preserve">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pPr>
        <w:pStyle w:val="0"/>
        <w:spacing w:before="200" w:line-rule="auto"/>
        <w:ind w:firstLine="540"/>
        <w:jc w:val="both"/>
      </w:pPr>
      <w:r>
        <w:rPr>
          <w:sz w:val="20"/>
        </w:rPr>
        <w:t xml:space="preserve">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pPr>
        <w:pStyle w:val="0"/>
        <w:spacing w:before="200" w:line-rule="auto"/>
        <w:ind w:firstLine="540"/>
        <w:jc w:val="both"/>
      </w:pPr>
      <w:r>
        <w:rPr>
          <w:sz w:val="20"/>
        </w:rPr>
        <w:t xml:space="preserve">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pPr>
        <w:pStyle w:val="0"/>
        <w:spacing w:before="200" w:line-rule="auto"/>
        <w:ind w:firstLine="540"/>
        <w:jc w:val="both"/>
      </w:pPr>
      <w:r>
        <w:rPr>
          <w:sz w:val="20"/>
        </w:rPr>
        <w:t xml:space="preserve">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pPr>
        <w:pStyle w:val="0"/>
        <w:spacing w:before="200" w:line-rule="auto"/>
        <w:ind w:firstLine="540"/>
        <w:jc w:val="both"/>
      </w:pPr>
      <w:r>
        <w:rPr>
          <w:sz w:val="20"/>
        </w:rPr>
        <w:t xml:space="preserve">Без учета предельного уровня соотношений размеров среднемесячной заработной платы, указанного в </w:t>
      </w:r>
      <w:hyperlink w:history="0" w:anchor="P163" w:tooltip="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
        <w:r>
          <w:rPr>
            <w:sz w:val="20"/>
            <w:color w:val="0000ff"/>
          </w:rPr>
          <w:t xml:space="preserve">абзаце первом</w:t>
        </w:r>
      </w:hyperlink>
      <w:r>
        <w:rPr>
          <w:sz w:val="20"/>
        </w:rPr>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27. Информация о рассчитанной за 2022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2023 г.</w:t>
      </w:r>
    </w:p>
    <w:p>
      <w:pPr>
        <w:pStyle w:val="0"/>
        <w:spacing w:before="200" w:line-rule="auto"/>
        <w:ind w:firstLine="540"/>
        <w:jc w:val="both"/>
      </w:pPr>
      <w:r>
        <w:rPr>
          <w:sz w:val="20"/>
        </w:rPr>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pPr>
        <w:pStyle w:val="0"/>
        <w:spacing w:before="200" w:line-rule="auto"/>
        <w:ind w:firstLine="540"/>
        <w:jc w:val="both"/>
      </w:pPr>
      <w:r>
        <w:rPr>
          <w:sz w:val="20"/>
        </w:rPr>
        <w:t xml:space="preserve">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pPr>
        <w:pStyle w:val="0"/>
        <w:spacing w:before="200" w:line-rule="auto"/>
        <w:ind w:firstLine="540"/>
        <w:jc w:val="both"/>
      </w:pPr>
      <w:r>
        <w:rPr>
          <w:sz w:val="20"/>
        </w:rPr>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w:t>
      </w:r>
      <w:hyperlink w:history="0" r:id="rId81"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w:t>
      </w:r>
    </w:p>
    <w:p>
      <w:pPr>
        <w:pStyle w:val="0"/>
        <w:jc w:val="center"/>
      </w:pPr>
      <w:r>
        <w:rPr>
          <w:sz w:val="20"/>
        </w:rPr>
      </w:r>
    </w:p>
    <w:p>
      <w:pPr>
        <w:pStyle w:val="2"/>
        <w:outlineLvl w:val="0"/>
        <w:jc w:val="center"/>
      </w:pPr>
      <w:r>
        <w:rPr>
          <w:sz w:val="20"/>
        </w:rPr>
        <w:t xml:space="preserve">VII. Формирование фондов оплаты труда в государственных</w:t>
      </w:r>
    </w:p>
    <w:p>
      <w:pPr>
        <w:pStyle w:val="2"/>
        <w:jc w:val="center"/>
      </w:pPr>
      <w:r>
        <w:rPr>
          <w:sz w:val="20"/>
        </w:rPr>
        <w:t xml:space="preserve">и муниципальных учреждениях</w:t>
      </w:r>
    </w:p>
    <w:p>
      <w:pPr>
        <w:pStyle w:val="0"/>
        <w:jc w:val="center"/>
      </w:pPr>
      <w:r>
        <w:rPr>
          <w:sz w:val="20"/>
        </w:rPr>
      </w:r>
    </w:p>
    <w:p>
      <w:pPr>
        <w:pStyle w:val="0"/>
        <w:ind w:firstLine="540"/>
        <w:jc w:val="both"/>
      </w:pPr>
      <w:r>
        <w:rPr>
          <w:sz w:val="20"/>
        </w:rPr>
        <w:t xml:space="preserve">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hyperlink w:history="0" w:anchor="P98" w:tooltip="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
        <w:r>
          <w:rPr>
            <w:sz w:val="20"/>
            <w:color w:val="0000ff"/>
          </w:rPr>
          <w:t xml:space="preserve">подпунктом "и" пункта 7</w:t>
        </w:r>
      </w:hyperlink>
      <w:r>
        <w:rPr>
          <w:sz w:val="20"/>
        </w:rPr>
        <w:t xml:space="preserve"> настоящих рекомендаций.</w:t>
      </w:r>
    </w:p>
    <w:p>
      <w:pPr>
        <w:pStyle w:val="0"/>
        <w:spacing w:before="200" w:line-rule="auto"/>
        <w:ind w:firstLine="540"/>
        <w:jc w:val="both"/>
      </w:pPr>
      <w:r>
        <w:rPr>
          <w:sz w:val="20"/>
        </w:rPr>
        <w:t xml:space="preserve">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hyperlink w:history="0" w:anchor="P98" w:tooltip="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
        <w:r>
          <w:rPr>
            <w:sz w:val="20"/>
            <w:color w:val="0000ff"/>
          </w:rPr>
          <w:t xml:space="preserve">подпунктом "и" пункта 7</w:t>
        </w:r>
      </w:hyperlink>
      <w:r>
        <w:rPr>
          <w:sz w:val="20"/>
        </w:rPr>
        <w:t xml:space="preserve"> настоящих рекомендаций.</w:t>
      </w:r>
    </w:p>
    <w:p>
      <w:pPr>
        <w:pStyle w:val="0"/>
        <w:jc w:val="center"/>
      </w:pPr>
      <w:r>
        <w:rPr>
          <w:sz w:val="20"/>
        </w:rPr>
      </w:r>
    </w:p>
    <w:p>
      <w:pPr>
        <w:pStyle w:val="2"/>
        <w:outlineLvl w:val="0"/>
        <w:jc w:val="center"/>
      </w:pPr>
      <w:r>
        <w:rPr>
          <w:sz w:val="20"/>
        </w:rPr>
        <w:t xml:space="preserve">VIII. Системы оплаты труда работников</w:t>
      </w:r>
    </w:p>
    <w:p>
      <w:pPr>
        <w:pStyle w:val="2"/>
        <w:jc w:val="center"/>
      </w:pPr>
      <w:r>
        <w:rPr>
          <w:sz w:val="20"/>
        </w:rPr>
        <w:t xml:space="preserve">государственных учреждений субъектов Российской Федерации</w:t>
      </w:r>
    </w:p>
    <w:p>
      <w:pPr>
        <w:pStyle w:val="2"/>
        <w:jc w:val="center"/>
      </w:pPr>
      <w:r>
        <w:rPr>
          <w:sz w:val="20"/>
        </w:rPr>
        <w:t xml:space="preserve">и муниципальных учреждений</w:t>
      </w:r>
    </w:p>
    <w:p>
      <w:pPr>
        <w:pStyle w:val="0"/>
        <w:jc w:val="center"/>
      </w:pPr>
      <w:r>
        <w:rPr>
          <w:sz w:val="20"/>
        </w:rPr>
      </w:r>
    </w:p>
    <w:p>
      <w:pPr>
        <w:pStyle w:val="0"/>
        <w:ind w:firstLine="540"/>
        <w:jc w:val="both"/>
      </w:pPr>
      <w:r>
        <w:rPr>
          <w:sz w:val="20"/>
        </w:rPr>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hyperlink w:history="0" w:anchor="P48" w:tooltip="II. Принципы формирования федеральной, региональных">
        <w:r>
          <w:rPr>
            <w:sz w:val="20"/>
            <w:color w:val="0000ff"/>
          </w:rPr>
          <w:t xml:space="preserve">разделах II</w:t>
        </w:r>
      </w:hyperlink>
      <w:r>
        <w:rPr>
          <w:sz w:val="20"/>
        </w:rPr>
        <w:t xml:space="preserve"> - </w:t>
      </w:r>
      <w:hyperlink w:history="0" w:anchor="P82" w:tooltip="IV. Системы оплаты труда работников государственных">
        <w:r>
          <w:rPr>
            <w:sz w:val="20"/>
            <w:color w:val="0000ff"/>
          </w:rPr>
          <w:t xml:space="preserve">IV</w:t>
        </w:r>
      </w:hyperlink>
      <w:r>
        <w:rPr>
          <w:sz w:val="20"/>
        </w:rPr>
        <w:t xml:space="preserve"> настоящих рекомендаций, а также требованиями к отраслевым системам оплаты труда, утвержденными Правительством Российской Федерации.</w:t>
      </w:r>
    </w:p>
    <w:p>
      <w:pPr>
        <w:pStyle w:val="0"/>
        <w:spacing w:before="200" w:line-rule="auto"/>
        <w:ind w:firstLine="540"/>
        <w:jc w:val="both"/>
      </w:pPr>
      <w:r>
        <w:rPr>
          <w:sz w:val="20"/>
        </w:rPr>
        <w:t xml:space="preserve">Органам государственной власти субъектов Российской Федерации и органам местного самоуправления рекомендуется:</w:t>
      </w:r>
    </w:p>
    <w:p>
      <w:pPr>
        <w:pStyle w:val="0"/>
        <w:spacing w:before="200" w:line-rule="auto"/>
        <w:ind w:firstLine="540"/>
        <w:jc w:val="both"/>
      </w:pPr>
      <w:r>
        <w:rPr>
          <w:sz w:val="20"/>
        </w:rPr>
        <w:t xml:space="preserve">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в соответствии с утверждаемыми Правительством Российской Федерации требованиями к системам оплаты труда работников государственных и муниципальных учреждений;</w:t>
      </w:r>
    </w:p>
    <w:p>
      <w:pPr>
        <w:pStyle w:val="0"/>
        <w:spacing w:before="200" w:line-rule="auto"/>
        <w:ind w:firstLine="540"/>
        <w:jc w:val="both"/>
      </w:pPr>
      <w:r>
        <w:rPr>
          <w:sz w:val="20"/>
        </w:rPr>
        <w:t xml:space="preserve">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pPr>
        <w:pStyle w:val="0"/>
        <w:spacing w:before="200" w:line-rule="auto"/>
        <w:ind w:firstLine="540"/>
        <w:jc w:val="both"/>
      </w:pPr>
      <w:r>
        <w:rPr>
          <w:sz w:val="20"/>
        </w:rPr>
        <w:t xml:space="preserve">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pPr>
        <w:pStyle w:val="0"/>
        <w:spacing w:before="200" w:line-rule="auto"/>
        <w:ind w:firstLine="540"/>
        <w:jc w:val="both"/>
      </w:pPr>
      <w:r>
        <w:rPr>
          <w:sz w:val="20"/>
        </w:rPr>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hyperlink w:history="0" r:id="rId82" w:tooltip="Приказ Минздрава России от 28.06.2013 N 421 &quot;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quot; {КонсультантПлюс}">
        <w:r>
          <w:rPr>
            <w:sz w:val="20"/>
            <w:color w:val="0000ff"/>
          </w:rPr>
          <w:t xml:space="preserve">приказом</w:t>
        </w:r>
      </w:hyperlink>
      <w:r>
        <w:rPr>
          <w:sz w:val="20"/>
        </w:rPr>
        <w:t xml:space="preserve"> Министерства здравоохранения Российской Федерации от 28 июня 2013 г. N 421; </w:t>
      </w:r>
      <w:hyperlink w:history="0" r:id="rId83" w:tooltip="Приказ Минтруда России от 01.07.2013 N 287 &quot;О методических рекомендациях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социального обслуживания населения, их руководителей и работников по видам учреждений и основным категориям работников&quot;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от 1 июля 2013 г. N 287; </w:t>
      </w:r>
      <w:hyperlink w:history="0" r:id="rId84" w:tooltip="Приказ Минкультуры России от 28.06.2013 N 920 &quot;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 их руководителей и работников по видам учреждений и основным категориям работников&quot; {КонсультантПлюс}">
        <w:r>
          <w:rPr>
            <w:sz w:val="20"/>
            <w:color w:val="0000ff"/>
          </w:rPr>
          <w:t xml:space="preserve">приказом</w:t>
        </w:r>
      </w:hyperlink>
      <w:r>
        <w:rPr>
          <w:sz w:val="20"/>
        </w:rPr>
        <w:t xml:space="preserve"> Министерства культуры Российской Федерации от 28 июня 2013 г. N 920; </w:t>
      </w:r>
      <w:hyperlink w:history="0" r:id="rId85" w:tooltip="Приказ Минобрнауки России от 23.06.2021 N 525 (ред. от 14.10.2022, с изм. от 17.11.2023) &quot;Об утверждении показателей эффективности деятельности федеральных государственных бюджетных и автономных учреждений, подведомственных Министерству науки и высшего образования Российской Федерации, и работы их руководителей, по результатам достижения которых указанным руководителям устанавливаются выплаты стимулирующего характера&quot; (Зарегистрировано в Минюсте России 26.07.2021 N 64371) {КонсультантПлюс}">
        <w:r>
          <w:rPr>
            <w:sz w:val="20"/>
            <w:color w:val="0000ff"/>
          </w:rPr>
          <w:t xml:space="preserve">приказом</w:t>
        </w:r>
      </w:hyperlink>
      <w:r>
        <w:rPr>
          <w:sz w:val="20"/>
        </w:rPr>
        <w:t xml:space="preserve"> Министерства науки и высшего образования Российской Федерации от 23 июня 2021 г. N 525 (с изм., внесенными приказом Минобрнауки России от 06.05.2022 N 442); </w:t>
      </w:r>
      <w:hyperlink w:history="0" r:id="rId86" w:tooltip="Приказ Минпросвещения России от 29.09.2021 N 677 (с изм. от 11.05.2022) &quot;Об утверждении показателей эффективности деятельности федеральных государственных бюджетных и автономных учреждений, в отношении которых Министерство просвещения Российской Федерации осуществляет функции и полномочия учредителя, и работы их руководителей&quot; (Зарегистрировано в Минюсте России 10.12.2021 N 66271) ------------ Утратил силу или отменен {КонсультантПлюс}">
        <w:r>
          <w:rPr>
            <w:sz w:val="20"/>
            <w:color w:val="0000ff"/>
          </w:rPr>
          <w:t xml:space="preserve">приказом</w:t>
        </w:r>
      </w:hyperlink>
      <w:r>
        <w:rPr>
          <w:sz w:val="20"/>
        </w:rPr>
        <w:t xml:space="preserve"> Минпросвещения России от 29 сентября 2021 г. N 677 (с изм., внесенными приказом Минпросвещения России от 11.05.2022 N 323), предусмотренные в письмах Министерства образования и науки Российской Федерации от 20 июня 2013 г. </w:t>
      </w:r>
      <w:hyperlink w:history="0" r:id="rId87" w:tooltip="&lt;Письмо&gt; Минобрнауки России от 20.06.2013 N АП-1073/02 &quot;О разработке показателей эффективности&quot; (вместе с &quot;Методическими рекомендациями Минобрнауки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Приложение&quot;, утв. Минобрнауки России 18.06.2013) {КонсультантПлюс}">
        <w:r>
          <w:rPr>
            <w:sz w:val="20"/>
            <w:color w:val="0000ff"/>
          </w:rPr>
          <w:t xml:space="preserve">N АП-1073/02</w:t>
        </w:r>
      </w:hyperlink>
      <w:r>
        <w:rPr>
          <w:sz w:val="20"/>
        </w:rPr>
        <w:t xml:space="preserve">, Министерства культуры Российской Федерации от 5 августа 2014 г. </w:t>
      </w:r>
      <w:hyperlink w:history="0" r:id="rId88" w:tooltip="&lt;Письмо&gt; Минкультуры России от 05.08.2014 N 166-01-39/04-НМ &lt;О направлении Методических рекомендаций по взаимоувязке системы отраслевых показателей эффективности деятельности в сфере культуры от федерального уровня до конкретного учреждения и работника&gt; {КонсультантПлюс}">
        <w:r>
          <w:rPr>
            <w:sz w:val="20"/>
            <w:color w:val="0000ff"/>
          </w:rPr>
          <w:t xml:space="preserve">N 166-01-39/04-НМ</w:t>
        </w:r>
      </w:hyperlink>
      <w:r>
        <w:rPr>
          <w:sz w:val="20"/>
        </w:rPr>
        <w:t xml:space="preserve">, а также установленные в планах мероприятий по реализации "дорожных карт" значения целевых показателей развития соответствующих отраслей.</w:t>
      </w:r>
    </w:p>
    <w:p>
      <w:pPr>
        <w:pStyle w:val="0"/>
        <w:spacing w:before="200" w:line-rule="auto"/>
        <w:ind w:firstLine="540"/>
        <w:jc w:val="both"/>
      </w:pPr>
      <w:r>
        <w:rPr>
          <w:sz w:val="20"/>
        </w:rPr>
        <w:t xml:space="preserve">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2023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и муниципальных учреждений.</w:t>
      </w:r>
    </w:p>
    <w:p>
      <w:pPr>
        <w:pStyle w:val="0"/>
        <w:spacing w:before="200" w:line-rule="auto"/>
        <w:ind w:firstLine="540"/>
        <w:jc w:val="both"/>
      </w:pPr>
      <w:r>
        <w:rPr>
          <w:sz w:val="20"/>
        </w:rPr>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hyperlink w:history="0" w:anchor="P40" w:tooltip="I. Общие положения">
        <w:r>
          <w:rPr>
            <w:sz w:val="20"/>
            <w:color w:val="0000ff"/>
          </w:rPr>
          <w:t xml:space="preserve">разделами I</w:t>
        </w:r>
      </w:hyperlink>
      <w:r>
        <w:rPr>
          <w:sz w:val="20"/>
        </w:rPr>
        <w:t xml:space="preserve"> - </w:t>
      </w:r>
      <w:hyperlink w:history="0" w:anchor="P82" w:tooltip="IV. Системы оплаты труда работников государственных">
        <w:r>
          <w:rPr>
            <w:sz w:val="20"/>
            <w:color w:val="0000ff"/>
          </w:rPr>
          <w:t xml:space="preserve">IV</w:t>
        </w:r>
      </w:hyperlink>
      <w:r>
        <w:rPr>
          <w:sz w:val="20"/>
        </w:rPr>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hyperlink w:history="0" w:anchor="P114" w:tooltip="V. Системы оплаты труда работников федеральных">
        <w:r>
          <w:rPr>
            <w:sz w:val="20"/>
            <w:color w:val="0000ff"/>
          </w:rPr>
          <w:t xml:space="preserve">разделе V</w:t>
        </w:r>
      </w:hyperlink>
      <w:r>
        <w:rPr>
          <w:sz w:val="20"/>
        </w:rPr>
        <w:t xml:space="preserve"> настоящих рекомендаций, обратив особое внимание при применении этих положений учреждениями на:</w:t>
      </w:r>
    </w:p>
    <w:p>
      <w:pPr>
        <w:pStyle w:val="0"/>
        <w:spacing w:before="200" w:line-rule="auto"/>
        <w:ind w:firstLine="540"/>
        <w:jc w:val="both"/>
      </w:pPr>
      <w:r>
        <w:rPr>
          <w:sz w:val="20"/>
        </w:rPr>
        <w:t xml:space="preserve">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pPr>
        <w:pStyle w:val="0"/>
        <w:spacing w:before="200" w:line-rule="auto"/>
        <w:ind w:firstLine="540"/>
        <w:jc w:val="both"/>
      </w:pPr>
      <w:r>
        <w:rPr>
          <w:sz w:val="20"/>
        </w:rPr>
        <w:t xml:space="preserve">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pPr>
        <w:pStyle w:val="0"/>
        <w:spacing w:before="200" w:line-rule="auto"/>
        <w:ind w:firstLine="540"/>
        <w:jc w:val="both"/>
      </w:pPr>
      <w:r>
        <w:rPr>
          <w:sz w:val="20"/>
        </w:rPr>
        <w:t xml:space="preserve">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pPr>
        <w:pStyle w:val="0"/>
        <w:spacing w:before="200" w:line-rule="auto"/>
        <w:ind w:firstLine="540"/>
        <w:jc w:val="both"/>
      </w:pPr>
      <w:r>
        <w:rPr>
          <w:sz w:val="20"/>
        </w:rPr>
        <w:t xml:space="preserve">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hyperlink w:history="0" w:anchor="P114" w:tooltip="V. Системы оплаты труда работников федеральных">
        <w:r>
          <w:rPr>
            <w:sz w:val="20"/>
            <w:color w:val="0000ff"/>
          </w:rPr>
          <w:t xml:space="preserve">разделом V</w:t>
        </w:r>
      </w:hyperlink>
      <w:r>
        <w:rPr>
          <w:sz w:val="20"/>
        </w:rPr>
        <w:t xml:space="preserve"> настоящих рекомендаций, и (или) требованиями, утвержденных Правительством Российской Федерации;</w:t>
      </w:r>
    </w:p>
    <w:p>
      <w:pPr>
        <w:pStyle w:val="0"/>
        <w:spacing w:before="200" w:line-rule="auto"/>
        <w:ind w:firstLine="540"/>
        <w:jc w:val="both"/>
      </w:pPr>
      <w:r>
        <w:rPr>
          <w:sz w:val="20"/>
        </w:rPr>
        <w:t xml:space="preserve">д) самостоятельное утверждение штатного расписания руководителем учреждения (представителем работодателя);</w:t>
      </w:r>
    </w:p>
    <w:p>
      <w:pPr>
        <w:pStyle w:val="0"/>
        <w:spacing w:before="200" w:line-rule="auto"/>
        <w:ind w:firstLine="540"/>
        <w:jc w:val="both"/>
      </w:pPr>
      <w:r>
        <w:rPr>
          <w:sz w:val="20"/>
        </w:rPr>
        <w:t xml:space="preserve">е) 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pPr>
        <w:pStyle w:val="0"/>
        <w:spacing w:before="200" w:line-rule="auto"/>
        <w:ind w:firstLine="540"/>
        <w:jc w:val="both"/>
      </w:pPr>
      <w:r>
        <w:rPr>
          <w:sz w:val="20"/>
        </w:rPr>
        <w:t xml:space="preserve">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pPr>
        <w:pStyle w:val="0"/>
        <w:spacing w:before="200" w:line-rule="auto"/>
        <w:ind w:firstLine="540"/>
        <w:jc w:val="both"/>
      </w:pPr>
      <w:r>
        <w:rPr>
          <w:sz w:val="20"/>
        </w:rPr>
        <w:t xml:space="preserve">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pPr>
        <w:pStyle w:val="0"/>
        <w:spacing w:before="200" w:line-rule="auto"/>
        <w:ind w:firstLine="540"/>
        <w:jc w:val="both"/>
      </w:pPr>
      <w:r>
        <w:rPr>
          <w:sz w:val="20"/>
        </w:rPr>
        <w:t xml:space="preserve">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pPr>
        <w:pStyle w:val="0"/>
        <w:spacing w:before="200" w:line-rule="auto"/>
        <w:ind w:firstLine="540"/>
        <w:jc w:val="both"/>
      </w:pPr>
      <w:r>
        <w:rPr>
          <w:sz w:val="20"/>
        </w:rPr>
        <w:t xml:space="preserve">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w:history="0" r:id="rId89"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кодексом</w:t>
        </w:r>
      </w:hyperlink>
      <w:r>
        <w:rPr>
          <w:sz w:val="20"/>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pPr>
        <w:pStyle w:val="0"/>
        <w:spacing w:before="200" w:line-rule="auto"/>
        <w:ind w:firstLine="540"/>
        <w:jc w:val="both"/>
      </w:pPr>
      <w:r>
        <w:rPr>
          <w:sz w:val="20"/>
        </w:rPr>
        <w:t xml:space="preserve">г) утверждать квалификационные характеристики по должностям служащих и профессиям рабочих;</w:t>
      </w:r>
    </w:p>
    <w:p>
      <w:pPr>
        <w:pStyle w:val="0"/>
        <w:spacing w:before="200" w:line-rule="auto"/>
        <w:ind w:firstLine="540"/>
        <w:jc w:val="both"/>
      </w:pPr>
      <w:r>
        <w:rPr>
          <w:sz w:val="20"/>
        </w:rPr>
        <w:t xml:space="preserve">д) отступать от единого реестра ученых степеней и ученых званий, и порядка присуждения ученых степеней, утверждаемых в установленном порядке;</w:t>
      </w:r>
    </w:p>
    <w:p>
      <w:pPr>
        <w:pStyle w:val="0"/>
        <w:spacing w:before="200" w:line-rule="auto"/>
        <w:ind w:firstLine="540"/>
        <w:jc w:val="both"/>
      </w:pPr>
      <w:r>
        <w:rPr>
          <w:sz w:val="20"/>
        </w:rPr>
        <w:t xml:space="preserve">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pPr>
        <w:pStyle w:val="0"/>
        <w:spacing w:before="200" w:line-rule="auto"/>
        <w:ind w:firstLine="540"/>
        <w:jc w:val="both"/>
      </w:pPr>
      <w:r>
        <w:rPr>
          <w:sz w:val="20"/>
        </w:rPr>
        <w:t xml:space="preserve">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pPr>
        <w:pStyle w:val="0"/>
        <w:spacing w:before="200" w:line-rule="auto"/>
        <w:ind w:firstLine="540"/>
        <w:jc w:val="both"/>
      </w:pPr>
      <w:r>
        <w:rPr>
          <w:sz w:val="20"/>
        </w:rPr>
        <w:t xml:space="preserve">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pPr>
        <w:pStyle w:val="0"/>
        <w:spacing w:before="200" w:line-rule="auto"/>
        <w:ind w:firstLine="540"/>
        <w:jc w:val="both"/>
      </w:pPr>
      <w:r>
        <w:rPr>
          <w:sz w:val="20"/>
        </w:rPr>
        <w:t xml:space="preserve">34. При применении систем оплаты труда работников учреждений следует обращать внимание на:</w:t>
      </w:r>
    </w:p>
    <w:p>
      <w:pPr>
        <w:pStyle w:val="0"/>
        <w:spacing w:before="200" w:line-rule="auto"/>
        <w:ind w:firstLine="540"/>
        <w:jc w:val="both"/>
      </w:pPr>
      <w:r>
        <w:rPr>
          <w:sz w:val="20"/>
        </w:rPr>
        <w:t xml:space="preserve">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pPr>
        <w:pStyle w:val="0"/>
        <w:spacing w:before="200" w:line-rule="auto"/>
        <w:ind w:firstLine="540"/>
        <w:jc w:val="both"/>
      </w:pPr>
      <w:r>
        <w:rPr>
          <w:sz w:val="20"/>
        </w:rPr>
        <w:t xml:space="preserve">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pPr>
        <w:pStyle w:val="0"/>
        <w:spacing w:before="200" w:line-rule="auto"/>
        <w:ind w:firstLine="540"/>
        <w:jc w:val="both"/>
      </w:pPr>
      <w:r>
        <w:rPr>
          <w:sz w:val="20"/>
        </w:rPr>
        <w:t xml:space="preserve">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pPr>
        <w:pStyle w:val="0"/>
        <w:spacing w:before="200" w:line-rule="auto"/>
        <w:ind w:firstLine="540"/>
        <w:jc w:val="both"/>
      </w:pPr>
      <w:r>
        <w:rPr>
          <w:sz w:val="20"/>
        </w:rPr>
        <w:t xml:space="preserve">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pPr>
        <w:pStyle w:val="0"/>
        <w:spacing w:before="200" w:line-rule="auto"/>
        <w:ind w:firstLine="540"/>
        <w:jc w:val="both"/>
      </w:pPr>
      <w:r>
        <w:rPr>
          <w:sz w:val="20"/>
        </w:rPr>
        <w:t xml:space="preserve">д)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pPr>
        <w:pStyle w:val="0"/>
        <w:spacing w:before="200" w:line-rule="auto"/>
        <w:ind w:firstLine="540"/>
        <w:jc w:val="both"/>
      </w:pPr>
      <w:r>
        <w:rPr>
          <w:sz w:val="20"/>
        </w:rPr>
        <w:t xml:space="preserve">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pPr>
        <w:pStyle w:val="0"/>
        <w:spacing w:before="200" w:line-rule="auto"/>
        <w:ind w:firstLine="540"/>
        <w:jc w:val="both"/>
      </w:pPr>
      <w:r>
        <w:rPr>
          <w:sz w:val="20"/>
        </w:rPr>
        <w:t xml:space="preserve">ж) нецелесообразность внесения в локальные нормативные акты положений, дублирующих нормы Трудового </w:t>
      </w:r>
      <w:hyperlink w:history="0" r:id="rId90"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кодекса</w:t>
        </w:r>
      </w:hyperlink>
      <w:r>
        <w:rPr>
          <w:sz w:val="20"/>
        </w:rPr>
        <w:t xml:space="preserve"> Российской Федерации, а также иных нормативных правовых актов Российской Федерации, содержащих нормы трудового права.</w:t>
      </w:r>
    </w:p>
    <w:p>
      <w:pPr>
        <w:pStyle w:val="0"/>
        <w:spacing w:before="200" w:line-rule="auto"/>
        <w:ind w:firstLine="540"/>
        <w:jc w:val="both"/>
      </w:pPr>
      <w:r>
        <w:rPr>
          <w:sz w:val="20"/>
        </w:rPr>
        <w:t xml:space="preserve">35. При заключении трудовых договоров с работниками рекомендуется использовать примерную </w:t>
      </w:r>
      <w:hyperlink w:history="0" r:id="rId91" w:tooltip="Распоряжение Правительства РФ от 26.11.2012 N 2190-р (ред. от 14.09.2015) &lt;Об утверждении Программы поэтапного совершенствования системы оплаты труда в государственных (муниципальных) учреждениях на 2012 - 2018 годы&gt; {КонсультантПлюс}">
        <w:r>
          <w:rPr>
            <w:sz w:val="20"/>
            <w:color w:val="0000ff"/>
          </w:rPr>
          <w:t xml:space="preserve">форму</w:t>
        </w:r>
      </w:hyperlink>
      <w:r>
        <w:rPr>
          <w:sz w:val="20"/>
        </w:rPr>
        <w:t xml:space="preserve"> трудового договора с работником учреждения, приведенную в приложении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и </w:t>
      </w:r>
      <w:hyperlink w:history="0" r:id="rId92" w:tooltip="Приказ Минтруда России от 26.04.2013 N 167н (ред. от 20.02.2014) &quot;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quot; {КонсультантПлюс}">
        <w:r>
          <w:rPr>
            <w:sz w:val="20"/>
            <w:color w:val="0000ff"/>
          </w:rPr>
          <w:t xml:space="preserve">рекомендации</w:t>
        </w:r>
      </w:hyperlink>
      <w:r>
        <w:rPr>
          <w:sz w:val="20"/>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N 167н.</w:t>
      </w:r>
    </w:p>
    <w:p>
      <w:pPr>
        <w:pStyle w:val="0"/>
        <w:jc w:val="center"/>
      </w:pPr>
      <w:r>
        <w:rPr>
          <w:sz w:val="20"/>
        </w:rPr>
      </w:r>
    </w:p>
    <w:p>
      <w:pPr>
        <w:pStyle w:val="2"/>
        <w:outlineLvl w:val="0"/>
        <w:jc w:val="center"/>
      </w:pPr>
      <w:r>
        <w:rPr>
          <w:sz w:val="20"/>
        </w:rPr>
        <w:t xml:space="preserve">IX. Особенности формирования систем оплаты труда работников</w:t>
      </w:r>
    </w:p>
    <w:p>
      <w:pPr>
        <w:pStyle w:val="2"/>
        <w:jc w:val="center"/>
      </w:pPr>
      <w:r>
        <w:rPr>
          <w:sz w:val="20"/>
        </w:rPr>
        <w:t xml:space="preserve">сферы образования</w:t>
      </w:r>
    </w:p>
    <w:p>
      <w:pPr>
        <w:pStyle w:val="0"/>
        <w:jc w:val="center"/>
      </w:pPr>
      <w:r>
        <w:rPr>
          <w:sz w:val="20"/>
        </w:rPr>
      </w:r>
    </w:p>
    <w:p>
      <w:pPr>
        <w:pStyle w:val="0"/>
        <w:ind w:firstLine="540"/>
        <w:jc w:val="both"/>
      </w:pPr>
      <w:r>
        <w:rPr>
          <w:sz w:val="20"/>
        </w:rPr>
        <w:t xml:space="preserve">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2023 году необходимо учитывать следующее.</w:t>
      </w:r>
    </w:p>
    <w:p>
      <w:pPr>
        <w:pStyle w:val="0"/>
        <w:spacing w:before="200" w:line-rule="auto"/>
        <w:ind w:firstLine="540"/>
        <w:jc w:val="both"/>
      </w:pPr>
      <w:r>
        <w:rPr>
          <w:sz w:val="20"/>
        </w:rPr>
        <w:t xml:space="preserve">36.1. Не допускать снижения уровня заработной платы работников образовательных учреждений, в том числе педагогических работников, достигнутого в 2022 году и определяемого на основе статистических данных Федеральной службы государственной статистики.</w:t>
      </w:r>
    </w:p>
    <w:p>
      <w:pPr>
        <w:pStyle w:val="0"/>
        <w:spacing w:before="200" w:line-rule="auto"/>
        <w:ind w:firstLine="540"/>
        <w:jc w:val="both"/>
      </w:pPr>
      <w:r>
        <w:rPr>
          <w:sz w:val="20"/>
        </w:rPr>
        <w:t xml:space="preserve">36.2. 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pPr>
        <w:pStyle w:val="0"/>
        <w:spacing w:before="200" w:line-rule="auto"/>
        <w:ind w:firstLine="540"/>
        <w:jc w:val="both"/>
      </w:pPr>
      <w:r>
        <w:rPr>
          <w:sz w:val="20"/>
        </w:rPr>
        <w:t xml:space="preserve">36.3. 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pPr>
        <w:pStyle w:val="0"/>
        <w:spacing w:before="200" w:line-rule="auto"/>
        <w:ind w:firstLine="540"/>
        <w:jc w:val="both"/>
      </w:pPr>
      <w:r>
        <w:rPr>
          <w:sz w:val="20"/>
        </w:rPr>
        <w:t xml:space="preserve">36.4.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w:t>
      </w:r>
    </w:p>
    <w:p>
      <w:pPr>
        <w:pStyle w:val="0"/>
        <w:spacing w:before="200" w:line-rule="auto"/>
        <w:ind w:firstLine="540"/>
        <w:jc w:val="both"/>
      </w:pPr>
      <w:r>
        <w:rPr>
          <w:sz w:val="20"/>
        </w:rPr>
        <w:t xml:space="preserve">а) методических </w:t>
      </w:r>
      <w:hyperlink w:history="0" r:id="rId93" w:tooltip="&lt;Письмо&gt; Минобрнауки России от 29.12.2017 N ВП-1992/02 &quot;О методических рекомендациях&quot; (вместе с &quot;Методическими рекомендациями по формированию системы оплаты труда работников общеобразовательных организаций&quot;) {КонсультантПлюс}">
        <w:r>
          <w:rPr>
            <w:sz w:val="20"/>
            <w:color w:val="0000ff"/>
          </w:rPr>
          <w:t xml:space="preserve">рекомендаций</w:t>
        </w:r>
      </w:hyperlink>
      <w:r>
        <w:rPr>
          <w:sz w:val="20"/>
        </w:rPr>
        <w:t xml:space="preserve">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Минобрнауки России от 29 декабря 2017 г. N ВП-1992/02);</w:t>
      </w:r>
    </w:p>
    <w:p>
      <w:pPr>
        <w:pStyle w:val="0"/>
        <w:spacing w:before="200" w:line-rule="auto"/>
        <w:ind w:firstLine="540"/>
        <w:jc w:val="both"/>
      </w:pPr>
      <w:r>
        <w:rPr>
          <w:sz w:val="20"/>
        </w:rPr>
        <w:t xml:space="preserve">б) методических </w:t>
      </w:r>
      <w:hyperlink w:history="0" r:id="rId94" w:tooltip="&lt;Письмо&gt; Минпросвещения России от 12.05.2020 N ВБ-1011/08 &quot;О методических рекомендациях&quot; (вместе с &quo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quot;) {КонсультантПлюс}">
        <w:r>
          <w:rPr>
            <w:sz w:val="20"/>
            <w:color w:val="0000ff"/>
          </w:rPr>
          <w:t xml:space="preserve">рекомендаций</w:t>
        </w:r>
      </w:hyperlink>
      <w:r>
        <w:rPr>
          <w:sz w:val="20"/>
        </w:rPr>
        <w:t xml:space="preserve">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(письмо Минпросвещения России от 12 мая 2020 г. N ВБ-1011/08);</w:t>
      </w:r>
    </w:p>
    <w:p>
      <w:pPr>
        <w:pStyle w:val="0"/>
        <w:spacing w:before="200" w:line-rule="auto"/>
        <w:ind w:firstLine="540"/>
        <w:jc w:val="both"/>
      </w:pPr>
      <w:r>
        <w:rPr>
          <w:sz w:val="20"/>
        </w:rPr>
        <w:t xml:space="preserve">в)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w:t>
      </w:r>
      <w:hyperlink w:history="0" r:id="rId95" w:tooltip="&lt;Письмо&gt; Минпросвещения России от 28.05.2020 N ВБ-1159/08 &quot;О направлении разъяснений&quot; (вместе с &quot;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quot;) {КонсультантПлюс}">
        <w:r>
          <w:rPr>
            <w:sz w:val="20"/>
            <w:color w:val="0000ff"/>
          </w:rPr>
          <w:t xml:space="preserve">N ВБ-1159/08</w:t>
        </w:r>
      </w:hyperlink>
      <w:r>
        <w:rPr>
          <w:sz w:val="20"/>
        </w:rPr>
        <w:t xml:space="preserve">, от 7 сентября 2020 г. </w:t>
      </w:r>
      <w:hyperlink w:history="0" r:id="rId96" w:tooltip="&lt;Письмо&gt; Минпросвещения России от 07.09.2020 N ВБ-1700/08 &quot;О направлении дополнительных разъяснений&quot; (вместе с &quot;Дополнительными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quot;) {КонсультантПлюс}">
        <w:r>
          <w:rPr>
            <w:sz w:val="20"/>
            <w:color w:val="0000ff"/>
          </w:rPr>
          <w:t xml:space="preserve">N ВБ-1700/08</w:t>
        </w:r>
      </w:hyperlink>
      <w:r>
        <w:rPr>
          <w:sz w:val="20"/>
        </w:rPr>
        <w:t xml:space="preserve">);</w:t>
      </w:r>
    </w:p>
    <w:p>
      <w:pPr>
        <w:pStyle w:val="0"/>
        <w:spacing w:before="200" w:line-rule="auto"/>
        <w:ind w:firstLine="540"/>
        <w:jc w:val="both"/>
      </w:pPr>
      <w:r>
        <w:rPr>
          <w:sz w:val="20"/>
        </w:rPr>
        <w:t xml:space="preserve">г) </w:t>
      </w:r>
      <w:hyperlink w:history="0" r:id="rId97" w:tooltip="&quot;Разъяснения об организации классного руководства (кураторства) в учебных группах образовательных организаций, реализующих образовательные программы среднего профессионального образования&quot; (утв. Минпросвещения России, Общероссийским Профсоюзом образования) {КонсультантПлюс}">
        <w:r>
          <w:rPr>
            <w:sz w:val="20"/>
            <w:color w:val="0000ff"/>
          </w:rPr>
          <w:t xml:space="preserve">разъяснений</w:t>
        </w:r>
      </w:hyperlink>
      <w:r>
        <w:rPr>
          <w:sz w:val="20"/>
        </w:rPr>
        <w:t xml:space="preserve"> об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согласованных с Общероссийским Профсоюзом образования, а также одобренных Экспертным советом Министерства просвещения Российской Федерации по вопросам дополнительного образования детей и взрослых, воспитания и детского отдыха (</w:t>
      </w:r>
      <w:hyperlink w:history="0" r:id="rId98" w:tooltip="&lt;Письмо&gt; Минпросвещения России от 30.08.2021 N АБ-1389/05 &quot;О направлении информации&quot; {КонсультантПлюс}">
        <w:r>
          <w:rPr>
            <w:sz w:val="20"/>
            <w:color w:val="0000ff"/>
          </w:rPr>
          <w:t xml:space="preserve">письмо</w:t>
        </w:r>
      </w:hyperlink>
      <w:r>
        <w:rPr>
          <w:sz w:val="20"/>
        </w:rPr>
        <w:t xml:space="preserve"> Минпросвещения России от 30 августа 2021 г. N АБ-1389/05 "О направлении информации");</w:t>
      </w:r>
    </w:p>
    <w:p>
      <w:pPr>
        <w:pStyle w:val="0"/>
        <w:spacing w:before="200" w:line-rule="auto"/>
        <w:ind w:firstLine="540"/>
        <w:jc w:val="both"/>
      </w:pPr>
      <w:r>
        <w:rPr>
          <w:sz w:val="20"/>
        </w:rPr>
        <w:t xml:space="preserve">д) положений Отраслевого </w:t>
      </w:r>
      <w:hyperlink w:history="0" r:id="rId99" w:tooltip="&quot;Отраслевое соглашение по организациям, находящимся в ведении Министерства просвещения Российской Федерации, на 2021 - 2023 годы&quot; (вместе с &quot;Рекомендациями о закреплении в региональных и территориальных соглашениях, в коллективных договорах положений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quot;) (утв. Минпросвещени {КонсультантПлюс}">
        <w:r>
          <w:rPr>
            <w:sz w:val="20"/>
            <w:color w:val="0000ff"/>
          </w:rPr>
          <w:t xml:space="preserve">соглашения</w:t>
        </w:r>
      </w:hyperlink>
      <w:r>
        <w:rPr>
          <w:sz w:val="20"/>
        </w:rPr>
        <w:t xml:space="preserve"> по организациям, находящимся в ведении Министерства просвещения Российской Федерации, на 2021 - 2023 годы, рекомендованных к использованию при заключении региональных и территориальных отраслевых соглашений, и коллективных договоров;</w:t>
      </w:r>
    </w:p>
    <w:p>
      <w:pPr>
        <w:pStyle w:val="0"/>
        <w:spacing w:before="200" w:line-rule="auto"/>
        <w:ind w:firstLine="540"/>
        <w:jc w:val="both"/>
      </w:pPr>
      <w:r>
        <w:rPr>
          <w:sz w:val="20"/>
        </w:rPr>
        <w:t xml:space="preserve">е) положений Отраслевого </w:t>
      </w:r>
      <w:hyperlink w:history="0" r:id="rId100" w:tooltip="&quot;Отраслевое соглашение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quot; (утв. Минобрнауки России, Профсоюзом работников народного образования и науки РФ 09.04.2021) (ред. от 05.05.2022) {КонсультантПлюс}">
        <w:r>
          <w:rPr>
            <w:sz w:val="20"/>
            <w:color w:val="0000ff"/>
          </w:rPr>
          <w:t xml:space="preserve">соглашения</w:t>
        </w:r>
      </w:hyperlink>
      <w:r>
        <w:rPr>
          <w:sz w:val="20"/>
        </w:rPr>
        <w:t xml:space="preserve">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 заключенных с Общероссийским Профсоюзом образования (далее - Отраслевое соглашение), рекомендованных к использованию при заключении региональных отраслевых соглашений; рекомендованных к использованию 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pPr>
        <w:pStyle w:val="0"/>
        <w:spacing w:before="200" w:line-rule="auto"/>
        <w:ind w:firstLine="540"/>
        <w:jc w:val="both"/>
      </w:pPr>
      <w:r>
        <w:rPr>
          <w:sz w:val="20"/>
        </w:rPr>
        <w:t xml:space="preserve">ж) примерного </w:t>
      </w:r>
      <w:hyperlink w:history="0" r:id="rId101" w:tooltip="Приказ Минобрнауки России от 01.02.2021 N 71 &quot;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quot;Образование&quot; (Зарегистрировано в Минюсте России 20.04.2021 N 63182) {КонсультантПлюс}">
        <w:r>
          <w:rPr>
            <w:sz w:val="20"/>
            <w:color w:val="0000ff"/>
          </w:rPr>
          <w:t xml:space="preserve">положения</w:t>
        </w:r>
      </w:hyperlink>
      <w:r>
        <w:rPr>
          <w:sz w:val="20"/>
        </w:rPr>
        <w:t xml:space="preserve">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(далее - Примерное положение), утвержденного приказом Минобрнауки России от 1 февраля 2021 г. N 71 (зарегистрировано Минюстом России от 20 апреля 2021 г., регистрационный N 63182),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по квалификационным уровням профессиональных квалификационных групп организации, которые в соответствии с </w:t>
      </w:r>
      <w:hyperlink w:history="0" r:id="rId102" w:tooltip="&quot;Отраслевое соглашение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quot; (утв. Минобрнауки России, Профсоюзом работников народного образования и науки РФ 09.04.2021) (ред. от 05.05.2022) {КонсультантПлюс}">
        <w:r>
          <w:rPr>
            <w:sz w:val="20"/>
            <w:color w:val="0000ff"/>
          </w:rPr>
          <w:t xml:space="preserve">п. 5.15</w:t>
        </w:r>
      </w:hyperlink>
      <w:r>
        <w:rPr>
          <w:sz w:val="20"/>
        </w:rPr>
        <w:t xml:space="preserve"> Отраслевого соглашения с Минобрнауки России не могут быть ниже размеров минимальных окладов (должностных окладов) ставок заработной платы, предусмотренных Примерным </w:t>
      </w:r>
      <w:hyperlink w:history="0" r:id="rId103" w:tooltip="Приказ Минобрнауки России от 01.02.2021 N 71 &quot;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quot;Образование&quot; (Зарегистрировано в Минюсте России 20.04.2021 N 63182) {КонсультантПлюс}">
        <w:r>
          <w:rPr>
            <w:sz w:val="20"/>
            <w:color w:val="0000ff"/>
          </w:rPr>
          <w:t xml:space="preserve">положением</w:t>
        </w:r>
      </w:hyperlink>
      <w:r>
        <w:rPr>
          <w:sz w:val="20"/>
        </w:rPr>
        <w:t xml:space="preserve"> по соответствующим квалификационным уровням профессиональных квалификационных групп, ежегодно индексируемых в порядке, определяемом Сторонами Отраслевого </w:t>
      </w:r>
      <w:hyperlink w:history="0" r:id="rId104" w:tooltip="&quot;Отраслевое соглашение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quot; (утв. Минобрнауки России, Профсоюзом работников народного образования и науки РФ 09.04.2021) (ред. от 05.05.2022) {КонсультантПлюс}">
        <w:r>
          <w:rPr>
            <w:sz w:val="20"/>
            <w:color w:val="0000ff"/>
          </w:rPr>
          <w:t xml:space="preserve">соглашения</w:t>
        </w:r>
      </w:hyperlink>
      <w:r>
        <w:rPr>
          <w:sz w:val="20"/>
        </w:rPr>
        <w:t xml:space="preserve">.</w:t>
      </w:r>
    </w:p>
    <w:p>
      <w:pPr>
        <w:pStyle w:val="0"/>
        <w:spacing w:before="200" w:line-rule="auto"/>
        <w:ind w:firstLine="540"/>
        <w:jc w:val="both"/>
      </w:pPr>
      <w:r>
        <w:rPr>
          <w:sz w:val="20"/>
        </w:rPr>
        <w:t xml:space="preserve">36.5.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hyperlink w:history="0" r:id="rId105"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приказа</w:t>
        </w:r>
      </w:hyperlink>
      <w:r>
        <w:rPr>
          <w:sz w:val="20"/>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N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pPr>
        <w:pStyle w:val="0"/>
        <w:spacing w:before="200" w:line-rule="auto"/>
        <w:ind w:firstLine="540"/>
        <w:jc w:val="both"/>
      </w:pPr>
      <w:r>
        <w:rPr>
          <w:sz w:val="20"/>
        </w:rPr>
        <w:t xml:space="preserve">36.5.1. 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w:t>
      </w:r>
      <w:hyperlink w:history="0" r:id="rId106"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пунктами 2.3</w:t>
        </w:r>
      </w:hyperlink>
      <w:r>
        <w:rPr>
          <w:sz w:val="20"/>
        </w:rPr>
        <w:t xml:space="preserve"> - </w:t>
      </w:r>
      <w:hyperlink w:history="0" r:id="rId107"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2.8</w:t>
        </w:r>
      </w:hyperlink>
      <w:r>
        <w:rPr>
          <w:sz w:val="20"/>
        </w:rPr>
        <w:t xml:space="preserve"> приложения 1 к приказу N 1601), обеспечивать включение в них условий, связанных с:</w:t>
      </w:r>
    </w:p>
    <w:p>
      <w:pPr>
        <w:pStyle w:val="0"/>
        <w:spacing w:before="200" w:line-rule="auto"/>
        <w:ind w:firstLine="540"/>
        <w:jc w:val="both"/>
      </w:pPr>
      <w:r>
        <w:rPr>
          <w:sz w:val="20"/>
        </w:rPr>
        <w:t xml:space="preserve">а) фиксированным размером ставки заработной платы, установленной за норму часов учебной (преподавательской) или педагогической работы за ставку заработной платы и размером фактического объема учебной нагрузки, определяемым ежегодно на начало учебного года (тренировочного периода, спортивного сезона) в порядке, предусмотренном </w:t>
      </w:r>
      <w:hyperlink w:history="0" r:id="rId108"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разделами I</w:t>
        </w:r>
      </w:hyperlink>
      <w:r>
        <w:rPr>
          <w:sz w:val="20"/>
        </w:rPr>
        <w:t xml:space="preserve"> - </w:t>
      </w:r>
      <w:hyperlink w:history="0" r:id="rId109"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V</w:t>
        </w:r>
      </w:hyperlink>
      <w:r>
        <w:rPr>
          <w:sz w:val="20"/>
        </w:rPr>
        <w:t xml:space="preserve"> приложения 2 к приказу N 1601;</w:t>
      </w:r>
    </w:p>
    <w:p>
      <w:pPr>
        <w:pStyle w:val="0"/>
        <w:spacing w:before="200" w:line-rule="auto"/>
        <w:ind w:firstLine="540"/>
        <w:jc w:val="both"/>
      </w:pPr>
      <w:r>
        <w:rPr>
          <w:sz w:val="20"/>
        </w:rPr>
        <w:t xml:space="preserve">б) размером оплаты труда, исчисленным с учетом фактического объема учебной нагрузки, фактического объема педагогической работы;</w:t>
      </w:r>
    </w:p>
    <w:p>
      <w:pPr>
        <w:pStyle w:val="0"/>
        <w:spacing w:before="200" w:line-rule="auto"/>
        <w:ind w:firstLine="540"/>
        <w:jc w:val="both"/>
      </w:pPr>
      <w:r>
        <w:rPr>
          <w:sz w:val="20"/>
        </w:rPr>
        <w:t xml:space="preserve">в) уточнением правил применения повышающих коэффициентов и (или) повышений, устанавливаемых в процентах (в абсолютных величинах) за наличие квалификационной категории, а также по иным основаниям при оплате труда педагогических работников, для которых </w:t>
      </w:r>
      <w:hyperlink w:history="0" r:id="rId110"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пунктами 2.3</w:t>
        </w:r>
      </w:hyperlink>
      <w:r>
        <w:rPr>
          <w:sz w:val="20"/>
        </w:rPr>
        <w:t xml:space="preserve"> - </w:t>
      </w:r>
      <w:hyperlink w:history="0" r:id="rId111"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2.8</w:t>
        </w:r>
      </w:hyperlink>
      <w:r>
        <w:rPr>
          <w:sz w:val="20"/>
        </w:rPr>
        <w:t xml:space="preserve"> приложения 1 к приказу N 1601 установлены нормы часов учебной (преподавательской) или педагогической работы за ставку заработной платы с целью определения их от размеров ставок заработной платы и применения к исчисленному размеру оплаты труда с учетом фактического объема педагогической или учебной (преподавательской) работы);</w:t>
      </w:r>
    </w:p>
    <w:p>
      <w:pPr>
        <w:pStyle w:val="0"/>
        <w:spacing w:before="200" w:line-rule="auto"/>
        <w:ind w:firstLine="540"/>
        <w:jc w:val="both"/>
      </w:pPr>
      <w:r>
        <w:rPr>
          <w:sz w:val="20"/>
        </w:rPr>
        <w:t xml:space="preserve">г) 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относятся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методическими объединениями, предметными, цикловыми и методическими комиссиями и другими видами дополнительной работы, определение которых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w:t>
      </w:r>
    </w:p>
    <w:p>
      <w:pPr>
        <w:pStyle w:val="0"/>
        <w:spacing w:before="200" w:line-rule="auto"/>
        <w:ind w:firstLine="540"/>
        <w:jc w:val="both"/>
      </w:pPr>
      <w:r>
        <w:rPr>
          <w:sz w:val="20"/>
        </w:rPr>
        <w:t xml:space="preserve">д) размерами и условиями выплат стимулирующего характера.</w:t>
      </w:r>
    </w:p>
    <w:p>
      <w:pPr>
        <w:pStyle w:val="0"/>
        <w:spacing w:before="200" w:line-rule="auto"/>
        <w:ind w:firstLine="540"/>
        <w:jc w:val="both"/>
      </w:pPr>
      <w:r>
        <w:rPr>
          <w:sz w:val="20"/>
        </w:rPr>
        <w:t xml:space="preserve">36.5.2. В системах оплаты труда педагогических работников, поименованных в </w:t>
      </w:r>
      <w:hyperlink w:history="0" r:id="rId112"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пунктах 2.3</w:t>
        </w:r>
      </w:hyperlink>
      <w:r>
        <w:rPr>
          <w:sz w:val="20"/>
        </w:rPr>
        <w:t xml:space="preserve"> - </w:t>
      </w:r>
      <w:hyperlink w:history="0" r:id="rId113"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2.8</w:t>
        </w:r>
      </w:hyperlink>
      <w:r>
        <w:rPr>
          <w:sz w:val="20"/>
        </w:rPr>
        <w:t xml:space="preserve"> приложения 1 к приказу N 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pPr>
        <w:pStyle w:val="0"/>
        <w:spacing w:before="200" w:line-rule="auto"/>
        <w:ind w:firstLine="540"/>
        <w:jc w:val="both"/>
      </w:pPr>
      <w:r>
        <w:rPr>
          <w:sz w:val="20"/>
        </w:rPr>
        <w:t xml:space="preserve">а) для педагогических работников, поименованных в </w:t>
      </w:r>
      <w:hyperlink w:history="0" r:id="rId114"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пунктах 2.3</w:t>
        </w:r>
      </w:hyperlink>
      <w:r>
        <w:rPr>
          <w:sz w:val="20"/>
        </w:rPr>
        <w:t xml:space="preserve"> - </w:t>
      </w:r>
      <w:hyperlink w:history="0" r:id="rId115"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2.7</w:t>
        </w:r>
      </w:hyperlink>
      <w:r>
        <w:rPr>
          <w:sz w:val="20"/>
        </w:rPr>
        <w:t xml:space="preserve"> и в </w:t>
      </w:r>
      <w:hyperlink w:history="0" r:id="rId116"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подпункте 2.8.1</w:t>
        </w:r>
      </w:hyperlink>
      <w:r>
        <w:rPr>
          <w:sz w:val="20"/>
        </w:rPr>
        <w:t xml:space="preserve"> указанного приказа, - путем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pPr>
        <w:pStyle w:val="0"/>
        <w:spacing w:before="200" w:line-rule="auto"/>
        <w:ind w:firstLine="540"/>
        <w:jc w:val="both"/>
      </w:pPr>
      <w:r>
        <w:rPr>
          <w:sz w:val="20"/>
        </w:rPr>
        <w:t xml:space="preserve">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w:t>
      </w:r>
      <w:hyperlink w:history="0" r:id="rId117"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подпунктом 2.8.2</w:t>
        </w:r>
      </w:hyperlink>
      <w:r>
        <w:rPr>
          <w:sz w:val="20"/>
        </w:rPr>
        <w:t xml:space="preserve">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pPr>
        <w:pStyle w:val="0"/>
        <w:spacing w:before="200" w:line-rule="auto"/>
        <w:ind w:firstLine="540"/>
        <w:jc w:val="both"/>
      </w:pPr>
      <w:r>
        <w:rPr>
          <w:sz w:val="20"/>
        </w:rPr>
        <w:t xml:space="preserve">36.5.3. Определение размеров выплат стимулирующего характера педагогическим работникам,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за результаты работы, а также выплат компенсационного характера, выплат за работу в сельской местности, за особенности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с девиантным (общественно опасным) поведением и по другим основаниям, следует осуществлять с учетом фактического объема учебной нагрузки.</w:t>
      </w:r>
    </w:p>
    <w:p>
      <w:pPr>
        <w:pStyle w:val="0"/>
        <w:spacing w:before="200" w:line-rule="auto"/>
        <w:ind w:firstLine="540"/>
        <w:jc w:val="both"/>
      </w:pPr>
      <w:r>
        <w:rPr>
          <w:sz w:val="20"/>
        </w:rPr>
        <w:t xml:space="preserve">36.5.4. При наличии у работников права на применение повышающих коэффициентов и (или) повышений, установленных в процентах (в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(в абсолютных величинах), которые затем суммировать и применять путем умножения образовавшейся величины на размер заработной платы, исчисленный за фактический объем учебной нагрузки и (или) педагогической работы.</w:t>
      </w:r>
    </w:p>
    <w:p>
      <w:pPr>
        <w:pStyle w:val="0"/>
        <w:spacing w:before="200" w:line-rule="auto"/>
        <w:ind w:firstLine="540"/>
        <w:jc w:val="both"/>
      </w:pPr>
      <w:r>
        <w:rPr>
          <w:sz w:val="20"/>
        </w:rPr>
        <w:t xml:space="preserve">36.5.5. Ставки заработной платы за календарный месяц, устанавливаемые педагогическим работникам, поименованным в </w:t>
      </w:r>
      <w:hyperlink w:history="0" r:id="rId118"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подпунктах 2.8.1</w:t>
        </w:r>
      </w:hyperlink>
      <w:r>
        <w:rPr>
          <w:sz w:val="20"/>
        </w:rPr>
        <w:t xml:space="preserve"> и </w:t>
      </w:r>
      <w:hyperlink w:history="0" r:id="rId119"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2.8.2</w:t>
        </w:r>
      </w:hyperlink>
      <w:r>
        <w:rPr>
          <w:sz w:val="20"/>
        </w:rPr>
        <w:t xml:space="preserve"> приложения 1 к приказу N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 соответствии с квалификационной характеристикой, которая именуется "другая часть педагогической работы" и регулируется в порядке, установленном </w:t>
      </w:r>
      <w:hyperlink w:history="0" r:id="rId120"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разделом II</w:t>
        </w:r>
      </w:hyperlink>
      <w:r>
        <w:rPr>
          <w:sz w:val="20"/>
        </w:rPr>
        <w:t xml:space="preserve"> приложения к приказу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N 536).</w:t>
      </w:r>
    </w:p>
    <w:p>
      <w:pPr>
        <w:pStyle w:val="0"/>
        <w:spacing w:before="200" w:line-rule="auto"/>
        <w:ind w:firstLine="540"/>
        <w:jc w:val="both"/>
      </w:pPr>
      <w:r>
        <w:rPr>
          <w:sz w:val="20"/>
        </w:rPr>
        <w:t xml:space="preserve">36.5.6. Согласно </w:t>
      </w:r>
      <w:hyperlink w:history="0" r:id="rId121"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пункту 2.2</w:t>
        </w:r>
      </w:hyperlink>
      <w:r>
        <w:rPr>
          <w:sz w:val="20"/>
        </w:rPr>
        <w:t xml:space="preserve"> приложения 2 к приказу N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w:t>
      </w:r>
    </w:p>
    <w:p>
      <w:pPr>
        <w:pStyle w:val="0"/>
        <w:spacing w:before="200" w:line-rule="auto"/>
        <w:ind w:firstLine="540"/>
        <w:jc w:val="both"/>
      </w:pPr>
      <w:r>
        <w:rPr>
          <w:sz w:val="20"/>
        </w:rPr>
        <w:t xml:space="preserve">36.5.7. При замещении должностей педагогических работников организаций, реализующих основные и дополнительные общеобразовательные программы и основные и дополнительные образовательные программы среднего профессионального образования, лицами, имеющими первую или высшую квалификационную категорию, присвоенную (установленную) на территории бывших республик Союза ССР, при установлении оплаты их труда имеющиеся квалификационные категории учитываются в течение срока, на который они были присвоены (установлены), но не более чем на 5 лет, а также дают право прохождения аттестации, в том числе на высшую квалификационную категорию, по истечении срока их действия.</w:t>
      </w:r>
    </w:p>
    <w:p>
      <w:pPr>
        <w:pStyle w:val="0"/>
        <w:spacing w:before="200" w:line-rule="auto"/>
        <w:ind w:firstLine="540"/>
        <w:jc w:val="both"/>
      </w:pPr>
      <w:r>
        <w:rPr>
          <w:sz w:val="20"/>
        </w:rPr>
        <w:t xml:space="preserve">36.6. Согласно </w:t>
      </w:r>
      <w:hyperlink w:history="0" r:id="rId122"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пункту 1.4</w:t>
        </w:r>
      </w:hyperlink>
      <w:r>
        <w:rPr>
          <w:sz w:val="20"/>
        </w:rPr>
        <w:t xml:space="preserve"> приложения 2 к приказу N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w:t>
      </w:r>
      <w:hyperlink w:history="0" r:id="rId123"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пунктом 6.1</w:t>
        </w:r>
      </w:hyperlink>
      <w:r>
        <w:rPr>
          <w:sz w:val="20"/>
        </w:rPr>
        <w:t xml:space="preserve"> приложения N 2 к приказу N 1601, с учетом которого:</w:t>
      </w:r>
    </w:p>
    <w:p>
      <w:pPr>
        <w:pStyle w:val="0"/>
        <w:spacing w:before="200" w:line-rule="auto"/>
        <w:ind w:firstLine="540"/>
        <w:jc w:val="both"/>
      </w:pPr>
      <w:r>
        <w:rPr>
          <w:sz w:val="20"/>
        </w:rPr>
        <w:t xml:space="preserve">а) 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pPr>
        <w:pStyle w:val="0"/>
        <w:spacing w:before="200" w:line-rule="auto"/>
        <w:ind w:firstLine="540"/>
        <w:jc w:val="both"/>
      </w:pPr>
      <w:r>
        <w:rPr>
          <w:sz w:val="20"/>
        </w:rPr>
        <w:t xml:space="preserve">б) 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pPr>
        <w:pStyle w:val="0"/>
        <w:spacing w:before="200" w:line-rule="auto"/>
        <w:ind w:firstLine="540"/>
        <w:jc w:val="both"/>
      </w:pPr>
      <w:r>
        <w:rPr>
          <w:sz w:val="20"/>
        </w:rPr>
        <w:t xml:space="preserve">36.6.1. При этом следует иметь в виду, что в соответствии с </w:t>
      </w:r>
      <w:hyperlink w:history="0" r:id="rId124"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подпунктами 7.1.2</w:t>
        </w:r>
      </w:hyperlink>
      <w:r>
        <w:rPr>
          <w:sz w:val="20"/>
        </w:rPr>
        <w:t xml:space="preserve"> и </w:t>
      </w:r>
      <w:hyperlink w:history="0" r:id="rId125"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7.1.3</w:t>
        </w:r>
      </w:hyperlink>
      <w:r>
        <w:rPr>
          <w:sz w:val="20"/>
        </w:rPr>
        <w:t xml:space="preserve"> приложения 2 к приказу N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w:history="0" r:id="rId126"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пунктом 6.1</w:t>
        </w:r>
      </w:hyperlink>
      <w:r>
        <w:rPr>
          <w:sz w:val="20"/>
        </w:rPr>
        <w:t xml:space="preserve"> указанного приказа, устанавливается в объеме, не превышающем соответственно 900 или 800 часов в учебном году.</w:t>
      </w:r>
    </w:p>
    <w:p>
      <w:pPr>
        <w:pStyle w:val="0"/>
        <w:spacing w:before="200" w:line-rule="auto"/>
        <w:ind w:firstLine="540"/>
        <w:jc w:val="both"/>
      </w:pPr>
      <w:r>
        <w:rPr>
          <w:sz w:val="20"/>
        </w:rPr>
        <w:t xml:space="preserve">36.6.2. В соответствии с </w:t>
      </w:r>
      <w:hyperlink w:history="0" r:id="rId127" w:tooltip="&quot;Отраслевое соглашение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quot; (утв. Минобрнауки России, Профсоюзом работников народного образования и науки РФ 09.04.2021) (ред. от 05.05.2022) {КонсультантПлюс}">
        <w:r>
          <w:rPr>
            <w:sz w:val="20"/>
            <w:color w:val="0000ff"/>
          </w:rPr>
          <w:t xml:space="preserve">абзацем третьим п. 6.1</w:t>
        </w:r>
      </w:hyperlink>
      <w:r>
        <w:rPr>
          <w:sz w:val="20"/>
        </w:rPr>
        <w:t xml:space="preserve">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на 2021 - 2023 целесообразно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w:t>
      </w:r>
    </w:p>
    <w:p>
      <w:pPr>
        <w:pStyle w:val="0"/>
        <w:spacing w:before="200" w:line-rule="auto"/>
        <w:ind w:firstLine="540"/>
        <w:jc w:val="both"/>
      </w:pPr>
      <w:r>
        <w:rPr>
          <w:sz w:val="20"/>
        </w:rPr>
        <w:t xml:space="preserve">36.6.3. 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w:t>
      </w:r>
      <w:hyperlink w:history="0" r:id="rId128"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пункте 6.3</w:t>
        </w:r>
      </w:hyperlink>
      <w:r>
        <w:rPr>
          <w:sz w:val="20"/>
        </w:rPr>
        <w:t xml:space="preserve"> приложения 2 к приказу N 1601. При расчете норм времени педагогических работников, отнесенных к профессорско-преподавательскому составу, в соответствии с </w:t>
      </w:r>
      <w:hyperlink w:history="0" r:id="rId129" w:tooltip="&quot;Отраслевое соглашение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quot; (утв. Минобрнауки России, Профсоюзом работников народного образования и науки РФ 09.04.2021) (ред. от 05.05.2022) {КонсультантПлюс}">
        <w:r>
          <w:rPr>
            <w:sz w:val="20"/>
            <w:color w:val="0000ff"/>
          </w:rPr>
          <w:t xml:space="preserve">п. 6.2</w:t>
        </w:r>
      </w:hyperlink>
      <w:r>
        <w:rPr>
          <w:sz w:val="20"/>
        </w:rPr>
        <w:t xml:space="preserve"> Отраслевого соглашения 1 академический час учебной нагрузки принимается за 1 астрономический час рабочего времени.</w:t>
      </w:r>
    </w:p>
    <w:p>
      <w:pPr>
        <w:pStyle w:val="0"/>
        <w:spacing w:before="200" w:line-rule="auto"/>
        <w:ind w:firstLine="540"/>
        <w:jc w:val="both"/>
      </w:pPr>
      <w:r>
        <w:rPr>
          <w:sz w:val="20"/>
        </w:rPr>
        <w:t xml:space="preserve">36.6.4. При применении </w:t>
      </w:r>
      <w:hyperlink w:history="0" r:id="rId130"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пункта 6.3</w:t>
        </w:r>
      </w:hyperlink>
      <w:r>
        <w:rPr>
          <w:sz w:val="20"/>
        </w:rPr>
        <w:t xml:space="preserve"> приложения 2 к приказу N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w:t>
      </w:r>
      <w:hyperlink w:history="0" r:id="rId131" w:tooltip="Приказ Минобрнауки России от 06.04.2021 N 245 (ред. от 02.03.2023) &quo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3.08.2021 N 64644) {КонсультантПлюс}">
        <w:r>
          <w:rPr>
            <w:sz w:val="20"/>
            <w:color w:val="0000ff"/>
          </w:rPr>
          <w:t xml:space="preserve">пунктами 25</w:t>
        </w:r>
      </w:hyperlink>
      <w:r>
        <w:rPr>
          <w:sz w:val="20"/>
        </w:rPr>
        <w:t xml:space="preserve"> - </w:t>
      </w:r>
      <w:hyperlink w:history="0" r:id="rId132" w:tooltip="Приказ Минобрнауки России от 06.04.2021 N 245 (ред. от 02.03.2023) &quo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3.08.2021 N 64644) {КонсультантПлюс}">
        <w:r>
          <w:rPr>
            <w:sz w:val="20"/>
            <w:color w:val="0000ff"/>
          </w:rPr>
          <w:t xml:space="preserve">28</w:t>
        </w:r>
      </w:hyperlink>
      <w:r>
        <w:rPr>
          <w:sz w:val="20"/>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с приказом от 6 апреля 2021 г. N 245 Минобрнауки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pPr>
        <w:pStyle w:val="0"/>
        <w:spacing w:before="200" w:line-rule="auto"/>
        <w:ind w:firstLine="540"/>
        <w:jc w:val="both"/>
      </w:pPr>
      <w:r>
        <w:rPr>
          <w:sz w:val="20"/>
        </w:rPr>
        <w:t xml:space="preserve">36.6.5. 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pPr>
        <w:pStyle w:val="0"/>
        <w:spacing w:before="200" w:line-rule="auto"/>
        <w:ind w:firstLine="540"/>
        <w:jc w:val="both"/>
      </w:pPr>
      <w:r>
        <w:rPr>
          <w:sz w:val="20"/>
        </w:rPr>
        <w:t xml:space="preserve">а) занимаемая педагогическим работником должность;</w:t>
      </w:r>
    </w:p>
    <w:p>
      <w:pPr>
        <w:pStyle w:val="0"/>
        <w:spacing w:before="200" w:line-rule="auto"/>
        <w:ind w:firstLine="540"/>
        <w:jc w:val="both"/>
      </w:pPr>
      <w:r>
        <w:rPr>
          <w:sz w:val="20"/>
        </w:rPr>
        <w:t xml:space="preserve">б) нормы времени по видам учебной деятельности, утвержденные локальным нормативным актом организации;</w:t>
      </w:r>
    </w:p>
    <w:p>
      <w:pPr>
        <w:pStyle w:val="0"/>
        <w:spacing w:before="200" w:line-rule="auto"/>
        <w:ind w:firstLine="540"/>
        <w:jc w:val="both"/>
      </w:pPr>
      <w:r>
        <w:rPr>
          <w:sz w:val="20"/>
        </w:rPr>
        <w:t xml:space="preserve">в) положения </w:t>
      </w:r>
      <w:hyperlink w:history="0" r:id="rId133"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раздела VII</w:t>
        </w:r>
      </w:hyperlink>
      <w:r>
        <w:rPr>
          <w:sz w:val="20"/>
        </w:rPr>
        <w:t xml:space="preserve"> приложения к приказу Министерства образования и науки Российской Федерации от 11 мая 2016 г. N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pPr>
        <w:pStyle w:val="0"/>
        <w:spacing w:before="200" w:line-rule="auto"/>
        <w:ind w:firstLine="540"/>
        <w:jc w:val="both"/>
      </w:pPr>
      <w:r>
        <w:rPr>
          <w:sz w:val="20"/>
        </w:rPr>
        <w:t xml:space="preserve">36.7. Согласно </w:t>
      </w:r>
      <w:hyperlink w:history="0" r:id="rId134"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пункту 4.1 раздела IV</w:t>
        </w:r>
      </w:hyperlink>
      <w:r>
        <w:rPr>
          <w:sz w:val="20"/>
        </w:rPr>
        <w:t xml:space="preserve"> и </w:t>
      </w:r>
      <w:hyperlink w:history="0" r:id="rId135"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пункту 5.1 раздела V</w:t>
        </w:r>
      </w:hyperlink>
      <w:r>
        <w:rPr>
          <w:sz w:val="20"/>
        </w:rPr>
        <w:t xml:space="preserve"> приложения к приказу Министерства образования и науки Российской Федерации от 11 мая 2016 г. N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w:t>
      </w:r>
    </w:p>
    <w:p>
      <w:pPr>
        <w:pStyle w:val="0"/>
        <w:spacing w:before="200" w:line-rule="auto"/>
        <w:ind w:firstLine="540"/>
        <w:jc w:val="both"/>
      </w:pPr>
      <w:r>
        <w:rPr>
          <w:sz w:val="20"/>
        </w:rPr>
        <w:t xml:space="preserve">36.8. 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w:t>
      </w:r>
      <w:hyperlink w:history="0" r:id="rId136"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разделом IV</w:t>
        </w:r>
      </w:hyperlink>
      <w:r>
        <w:rPr>
          <w:sz w:val="20"/>
        </w:rPr>
        <w:t xml:space="preserve"> приложения к приказу Министерства образования и науки Российской Федерации от 11 мая 2016 г. N 536, установленных для режима рабочего времени работников в каникулярное время. 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w:t>
      </w:r>
    </w:p>
    <w:p>
      <w:pPr>
        <w:pStyle w:val="0"/>
        <w:spacing w:before="200" w:line-rule="auto"/>
        <w:ind w:firstLine="540"/>
        <w:jc w:val="both"/>
      </w:pPr>
      <w:r>
        <w:rPr>
          <w:sz w:val="20"/>
        </w:rPr>
        <w:t xml:space="preserve">36.9. При переводе в соответствии с </w:t>
      </w:r>
      <w:hyperlink w:history="0" r:id="rId13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частью 8 статьи 3</w:t>
        </w:r>
      </w:hyperlink>
      <w:r>
        <w:rPr>
          <w:sz w:val="20"/>
        </w:rPr>
        <w:t xml:space="preserve"> Федерального закона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работников физкультурно-спортивных организаций с наименованием должности "тренер" на должности педагогических работников с наименованиями "тренер-преподаватель", "старший тренер-преподаватель" применяются соответствующие положения, регулируемые нормативными правовыми актами, предусмотренными настоящим разделом.</w:t>
      </w:r>
    </w:p>
    <w:p>
      <w:pPr>
        <w:pStyle w:val="0"/>
        <w:spacing w:before="200" w:line-rule="auto"/>
        <w:ind w:firstLine="540"/>
        <w:jc w:val="both"/>
      </w:pPr>
      <w:r>
        <w:rPr>
          <w:sz w:val="20"/>
        </w:rPr>
        <w:t xml:space="preserve">36.9.1. В целях недопущения при оплате труда тренеров-преподавателей и старших тренеров-преподавателей, в том числе переведенных с должностей тренеров, снижения применяемых ранее по этим должностям выплат компенсационного и (или) стимулирующего характера, рекомендуется использовать порядок и размеры таких выплат, предусмотренных по должности "тренер" </w:t>
      </w:r>
      <w:hyperlink w:history="0" w:anchor="P310" w:tooltip="XII. Особенности формирования систем оплаты труда">
        <w:r>
          <w:rPr>
            <w:sz w:val="20"/>
            <w:color w:val="0000ff"/>
          </w:rPr>
          <w:t xml:space="preserve">разделом XII</w:t>
        </w:r>
      </w:hyperlink>
      <w:r>
        <w:rPr>
          <w:sz w:val="20"/>
        </w:rPr>
        <w:t xml:space="preserve"> настоящих Рекомендаций.</w:t>
      </w:r>
    </w:p>
    <w:p>
      <w:pPr>
        <w:pStyle w:val="0"/>
        <w:spacing w:before="200" w:line-rule="auto"/>
        <w:ind w:firstLine="540"/>
        <w:jc w:val="both"/>
      </w:pPr>
      <w:r>
        <w:rPr>
          <w:sz w:val="20"/>
        </w:rPr>
        <w:t xml:space="preserve">36.9.2. При переводе тренеров на должности тренеров-преподавателей и старших тренеров-преподавателей рекомендуется не допускать снижения общего размера их заработной платы, выплачиваемой по ранее занимаемой должности, с учетом сохранения объема должностных обязанностей работников и выполнения ими работ той же квалификации.</w:t>
      </w:r>
    </w:p>
    <w:p>
      <w:pPr>
        <w:pStyle w:val="0"/>
        <w:spacing w:before="200" w:line-rule="auto"/>
        <w:ind w:firstLine="540"/>
        <w:jc w:val="both"/>
      </w:pPr>
      <w:r>
        <w:rPr>
          <w:sz w:val="20"/>
        </w:rPr>
        <w:t xml:space="preserve">36.10.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"учитель".</w:t>
      </w:r>
    </w:p>
    <w:p>
      <w:pPr>
        <w:pStyle w:val="0"/>
        <w:jc w:val="center"/>
      </w:pPr>
      <w:r>
        <w:rPr>
          <w:sz w:val="20"/>
        </w:rPr>
      </w:r>
    </w:p>
    <w:p>
      <w:pPr>
        <w:pStyle w:val="2"/>
        <w:outlineLvl w:val="0"/>
        <w:jc w:val="center"/>
      </w:pPr>
      <w:r>
        <w:rPr>
          <w:sz w:val="20"/>
        </w:rPr>
        <w:t xml:space="preserve">X. Особенности формирования систем оплаты труда работников</w:t>
      </w:r>
    </w:p>
    <w:p>
      <w:pPr>
        <w:pStyle w:val="2"/>
        <w:jc w:val="center"/>
      </w:pPr>
      <w:r>
        <w:rPr>
          <w:sz w:val="20"/>
        </w:rPr>
        <w:t xml:space="preserve">государственных и муниципальных учреждений здравоохранения</w:t>
      </w:r>
    </w:p>
    <w:p>
      <w:pPr>
        <w:pStyle w:val="0"/>
        <w:jc w:val="center"/>
      </w:pPr>
      <w:r>
        <w:rPr>
          <w:sz w:val="20"/>
        </w:rPr>
      </w:r>
    </w:p>
    <w:p>
      <w:pPr>
        <w:pStyle w:val="0"/>
        <w:ind w:firstLine="540"/>
        <w:jc w:val="both"/>
      </w:pPr>
      <w:r>
        <w:rPr>
          <w:sz w:val="20"/>
        </w:rPr>
        <w:t xml:space="preserve">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pPr>
        <w:pStyle w:val="0"/>
        <w:spacing w:before="200" w:line-rule="auto"/>
        <w:ind w:firstLine="540"/>
        <w:jc w:val="both"/>
      </w:pPr>
      <w:r>
        <w:rPr>
          <w:sz w:val="20"/>
        </w:rPr>
        <w:t xml:space="preserve">а) обеспечение в 2023 году сохранения установленных </w:t>
      </w:r>
      <w:hyperlink w:history="0" r:id="rId138"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показателей оплаты труда отдельных категорий медицинских работников;</w:t>
      </w:r>
    </w:p>
    <w:p>
      <w:pPr>
        <w:pStyle w:val="0"/>
        <w:spacing w:before="200" w:line-rule="auto"/>
        <w:ind w:firstLine="540"/>
        <w:jc w:val="both"/>
      </w:pPr>
      <w:r>
        <w:rPr>
          <w:sz w:val="20"/>
        </w:rPr>
        <w:t xml:space="preserve">б) 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pPr>
        <w:pStyle w:val="0"/>
        <w:spacing w:before="200" w:line-rule="auto"/>
        <w:ind w:firstLine="540"/>
        <w:jc w:val="both"/>
      </w:pPr>
      <w:r>
        <w:rPr>
          <w:sz w:val="20"/>
        </w:rPr>
        <w:t xml:space="preserve">в) 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pPr>
        <w:pStyle w:val="0"/>
        <w:spacing w:before="200" w:line-rule="auto"/>
        <w:ind w:firstLine="540"/>
        <w:jc w:val="both"/>
      </w:pPr>
      <w:r>
        <w:rPr>
          <w:sz w:val="20"/>
        </w:rPr>
        <w:t xml:space="preserve">г) в целях сохранения кадрового потенциала, повышения престижности и привлекательности работы в учреждениях здравоохранения, снижения внутрирегиональной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 процентов без учета компенсационных выплат за работу в особых климатических условиях;</w:t>
      </w:r>
    </w:p>
    <w:p>
      <w:pPr>
        <w:pStyle w:val="0"/>
        <w:spacing w:before="200" w:line-rule="auto"/>
        <w:ind w:firstLine="540"/>
        <w:jc w:val="both"/>
      </w:pPr>
      <w:r>
        <w:rPr>
          <w:sz w:val="20"/>
        </w:rPr>
        <w:t xml:space="preserve">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pPr>
        <w:pStyle w:val="0"/>
        <w:spacing w:before="200" w:line-rule="auto"/>
        <w:ind w:firstLine="540"/>
        <w:jc w:val="both"/>
      </w:pPr>
      <w:r>
        <w:rPr>
          <w:sz w:val="20"/>
        </w:rPr>
        <w:t xml:space="preserve">е)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pPr>
        <w:pStyle w:val="0"/>
        <w:spacing w:before="200" w:line-rule="auto"/>
        <w:ind w:firstLine="540"/>
        <w:jc w:val="both"/>
      </w:pPr>
      <w:r>
        <w:rPr>
          <w:sz w:val="20"/>
        </w:rPr>
        <w:t xml:space="preserve">ж) при установлении в пределах фонда оплаты труда стимулирующих выплат медицинским работникам государственных и муниципальных учреждений здравоохранения предусматривать выплаты за наставничество в отношении молодых специалистов, завершивших обучение по программам высшего образования по направлению подготовки "Здравоохранение и медицинские науки", а также участвующим в практической подготовке обучающихся по основным профессиональным образовательным программам медицинского образования;</w:t>
      </w:r>
    </w:p>
    <w:p>
      <w:pPr>
        <w:pStyle w:val="0"/>
        <w:spacing w:before="200" w:line-rule="auto"/>
        <w:ind w:firstLine="540"/>
        <w:jc w:val="both"/>
      </w:pPr>
      <w:r>
        <w:rPr>
          <w:sz w:val="20"/>
        </w:rPr>
        <w:t xml:space="preserve">з)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pPr>
        <w:pStyle w:val="0"/>
        <w:spacing w:before="200" w:line-rule="auto"/>
        <w:ind w:firstLine="540"/>
        <w:jc w:val="both"/>
      </w:pPr>
      <w:r>
        <w:rPr>
          <w:sz w:val="20"/>
        </w:rPr>
        <w:t xml:space="preserve">и)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pPr>
        <w:pStyle w:val="0"/>
        <w:spacing w:before="200" w:line-rule="auto"/>
        <w:ind w:firstLine="540"/>
        <w:jc w:val="both"/>
      </w:pPr>
      <w:r>
        <w:rPr>
          <w:sz w:val="20"/>
        </w:rPr>
        <w:t xml:space="preserve">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pPr>
        <w:pStyle w:val="0"/>
        <w:spacing w:before="200" w:line-rule="auto"/>
        <w:ind w:firstLine="540"/>
        <w:jc w:val="both"/>
      </w:pPr>
      <w:r>
        <w:rPr>
          <w:sz w:val="20"/>
        </w:rPr>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w:t>
      </w:r>
      <w:hyperlink w:history="0" r:id="rId139"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пункте 29</w:t>
        </w:r>
      </w:hyperlink>
      <w:r>
        <w:rPr>
          <w:sz w:val="20"/>
        </w:rPr>
        <w:t xml:space="preserve"> Методики проведения специальной оценки условий труда, утвержденной приказом Министерства труда и социальной защиты Российской Федерации от 24 января 2014 г. N 33н.</w:t>
      </w:r>
    </w:p>
    <w:p>
      <w:pPr>
        <w:pStyle w:val="0"/>
        <w:spacing w:before="200" w:line-rule="auto"/>
        <w:ind w:firstLine="540"/>
        <w:jc w:val="both"/>
      </w:pPr>
      <w:r>
        <w:rPr>
          <w:sz w:val="20"/>
        </w:rPr>
        <w:t xml:space="preserve">При оценке воздействия биологического фактора на рабочих местах медицинских и иных работников следует руководствоваться в том числе совместным </w:t>
      </w:r>
      <w:hyperlink w:history="0" r:id="rId140" w:tooltip="&lt;Письмо&gt; Минтруда России N 15-1/10/В-7756, Минздрава России N 16-6/10/2-6553, Профсоюза работников здравоохранения РФ N 01-А/475 от 09.10.2018 &lt;Об отнесении условий труда к классу (подклассу) условий труда при воздействии биологического фактора (работы с патогенными микроорганизмами)&gt; {КонсультантПлюс}">
        <w:r>
          <w:rPr>
            <w:sz w:val="20"/>
            <w:color w:val="0000ff"/>
          </w:rPr>
          <w:t xml:space="preserve">письмом</w:t>
        </w:r>
      </w:hyperlink>
      <w:r>
        <w:rPr>
          <w:sz w:val="20"/>
        </w:rPr>
        <w:t xml:space="preserve"> Министерства труда и социальной защиты Российской Федерации (N 15-1/10/В-7756), Министерства здравоохранения Российской Федерации (N 16-6/10/2-6553), Профсоюза работников здравоохранения Российской Федерации (N 01-А/475) от 9 октября 2018 г. "Об отнесении условий труда к классу (подклассу) условий труда при воздействии биологического фактора (работы с патогенными микроорганизмами)",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pPr>
        <w:pStyle w:val="0"/>
        <w:spacing w:before="200" w:line-rule="auto"/>
        <w:ind w:firstLine="540"/>
        <w:jc w:val="both"/>
      </w:pPr>
      <w:r>
        <w:rPr>
          <w:sz w:val="20"/>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w:t>
      </w:r>
      <w:hyperlink w:history="0" r:id="rId141"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статьей 372</w:t>
        </w:r>
      </w:hyperlink>
      <w:r>
        <w:rPr>
          <w:sz w:val="20"/>
        </w:rPr>
        <w:t xml:space="preserve"> Трудового кодекса Российской Федерации, принятием локальных нормативных актов, либо коллективным договором, трудовым договором.</w:t>
      </w:r>
    </w:p>
    <w:p>
      <w:pPr>
        <w:pStyle w:val="0"/>
        <w:spacing w:before="200" w:line-rule="auto"/>
        <w:ind w:firstLine="540"/>
        <w:jc w:val="both"/>
      </w:pPr>
      <w:r>
        <w:rPr>
          <w:sz w:val="20"/>
        </w:rPr>
        <w:t xml:space="preserve">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pPr>
        <w:pStyle w:val="0"/>
        <w:spacing w:before="200" w:line-rule="auto"/>
        <w:ind w:firstLine="540"/>
        <w:jc w:val="both"/>
      </w:pPr>
      <w:r>
        <w:rPr>
          <w:sz w:val="20"/>
        </w:rPr>
        <w:t xml:space="preserve">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pPr>
        <w:pStyle w:val="0"/>
        <w:spacing w:before="200" w:line-rule="auto"/>
        <w:ind w:firstLine="540"/>
        <w:jc w:val="both"/>
      </w:pPr>
      <w:r>
        <w:rPr>
          <w:sz w:val="20"/>
        </w:rPr>
        <w:t xml:space="preserve">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pPr>
        <w:pStyle w:val="0"/>
        <w:spacing w:before="200" w:line-rule="auto"/>
        <w:ind w:firstLine="540"/>
        <w:jc w:val="both"/>
      </w:pPr>
      <w:r>
        <w:rPr>
          <w:sz w:val="20"/>
        </w:rPr>
        <w:t xml:space="preserve">Если по итогам специальной оценки условий труда рабочее место признается безопасным, повышение оплаты труда не производится.</w:t>
      </w:r>
    </w:p>
    <w:p>
      <w:pPr>
        <w:pStyle w:val="0"/>
        <w:spacing w:before="200" w:line-rule="auto"/>
        <w:ind w:firstLine="540"/>
        <w:jc w:val="both"/>
      </w:pPr>
      <w:r>
        <w:rPr>
          <w:sz w:val="20"/>
        </w:rPr>
        <w:t xml:space="preserve">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pPr>
        <w:pStyle w:val="0"/>
        <w:spacing w:before="200" w:line-rule="auto"/>
        <w:ind w:firstLine="540"/>
        <w:jc w:val="both"/>
      </w:pPr>
      <w:r>
        <w:rPr>
          <w:sz w:val="20"/>
        </w:rPr>
        <w:t xml:space="preserve">к)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pPr>
        <w:pStyle w:val="0"/>
        <w:spacing w:before="200" w:line-rule="auto"/>
        <w:ind w:firstLine="540"/>
        <w:jc w:val="both"/>
      </w:pPr>
      <w:r>
        <w:rPr>
          <w:sz w:val="20"/>
        </w:rPr>
        <w:t xml:space="preserve">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pPr>
        <w:pStyle w:val="0"/>
        <w:spacing w:before="200" w:line-rule="auto"/>
        <w:ind w:firstLine="540"/>
        <w:jc w:val="both"/>
      </w:pPr>
      <w:r>
        <w:rPr>
          <w:sz w:val="20"/>
        </w:rPr>
        <w:t xml:space="preserve">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w:t>
      </w:r>
    </w:p>
    <w:p>
      <w:pPr>
        <w:pStyle w:val="0"/>
        <w:spacing w:before="200" w:line-rule="auto"/>
        <w:ind w:firstLine="540"/>
        <w:jc w:val="both"/>
      </w:pPr>
      <w:r>
        <w:rPr>
          <w:sz w:val="20"/>
        </w:rPr>
        <w:t xml:space="preserve">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pPr>
        <w:pStyle w:val="0"/>
        <w:spacing w:before="200" w:line-rule="auto"/>
        <w:ind w:firstLine="540"/>
        <w:jc w:val="both"/>
      </w:pPr>
      <w:r>
        <w:rPr>
          <w:sz w:val="20"/>
        </w:rPr>
        <w:t xml:space="preserve">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 с учетом </w:t>
      </w:r>
      <w:hyperlink w:history="0" r:id="rId142" w:tooltip="Приказ Минздрава России от 20.12.2012 N 1183н (ред. от 04.09.2020) &quot;Об утверждении Номенклатуры должностей медицинских работников и фармацевтических работников&quot; (Зарегистрировано в Минюсте России 18.03.2013 N 27723) ------------ Утратил силу или отменен {КонсультантПлюс}">
        <w:r>
          <w:rPr>
            <w:sz w:val="20"/>
            <w:color w:val="0000ff"/>
          </w:rPr>
          <w:t xml:space="preserve">Номенклатуры</w:t>
        </w:r>
      </w:hyperlink>
      <w:r>
        <w:rPr>
          <w:sz w:val="20"/>
        </w:rPr>
        <w:t xml:space="preserve"> должностей медицинских работников и фармацевтических работников, утвержденной приказом Министерства здравоохранения Российской Федерации от 20 декабря 2012 г. N 1183н;</w:t>
      </w:r>
    </w:p>
    <w:p>
      <w:pPr>
        <w:pStyle w:val="0"/>
        <w:spacing w:before="200" w:line-rule="auto"/>
        <w:ind w:firstLine="540"/>
        <w:jc w:val="both"/>
      </w:pPr>
      <w:r>
        <w:rPr>
          <w:sz w:val="20"/>
        </w:rPr>
        <w:t xml:space="preserve">п) 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 </w:t>
      </w:r>
      <w:hyperlink w:history="0" r:id="rId143"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Указа</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осуществлять за счет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pPr>
        <w:pStyle w:val="0"/>
        <w:spacing w:before="200" w:line-rule="auto"/>
        <w:ind w:firstLine="540"/>
        <w:jc w:val="both"/>
      </w:pPr>
      <w:r>
        <w:rPr>
          <w:sz w:val="20"/>
        </w:rPr>
        <w:t xml:space="preserve">р)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pPr>
        <w:pStyle w:val="0"/>
        <w:spacing w:before="200" w:line-rule="auto"/>
        <w:ind w:firstLine="540"/>
        <w:jc w:val="both"/>
      </w:pPr>
      <w:r>
        <w:rPr>
          <w:sz w:val="20"/>
        </w:rPr>
        <w:t xml:space="preserve">с) 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 в рамках реализации </w:t>
      </w:r>
      <w:hyperlink w:history="0" r:id="rId144" w:tooltip="Постановление Правительства РФ от 30.12.2019 N 1940 (ред. от 29.12.2021)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постановления</w:t>
        </w:r>
      </w:hyperlink>
      <w:r>
        <w:rPr>
          <w:sz w:val="20"/>
        </w:rPr>
        <w:t xml:space="preserve"> Правительства Российской Федерации от 30 декабря 2019 г. N 1940 "Об 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145" w:tooltip="Приказ Минздрава России от 07.07.2020 N 682н &quot;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Зарегистрировано в Минюсте России 10.08.2020 N 59224) ------------ Утратил силу или отменен {КонсультантПлюс}">
        <w:r>
          <w:rPr>
            <w:sz w:val="20"/>
            <w:color w:val="0000ff"/>
          </w:rPr>
          <w:t xml:space="preserve">приказа</w:t>
        </w:r>
      </w:hyperlink>
      <w:r>
        <w:rPr>
          <w:sz w:val="20"/>
        </w:rPr>
        <w:t xml:space="preserve"> Минздрава Российской Федерации от 7 июля 2020 г. N 682н, </w:t>
      </w:r>
      <w:hyperlink w:history="0" r:id="rId146" w:tooltip="&lt;Письмо&gt; ФФОМС от 20.08.2020 N 11534/26-4/и &lt;О механизм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gt; {КонсультантПлюс}">
        <w:r>
          <w:rPr>
            <w:sz w:val="20"/>
            <w:color w:val="0000ff"/>
          </w:rPr>
          <w:t xml:space="preserve">письма</w:t>
        </w:r>
      </w:hyperlink>
      <w:r>
        <w:rPr>
          <w:sz w:val="20"/>
        </w:rPr>
        <w:t xml:space="preserve"> Федерального фонда обязательного медицинского страхования от 20 августа 2020 г. N 1534/26-4/и;</w:t>
      </w:r>
    </w:p>
    <w:p>
      <w:pPr>
        <w:pStyle w:val="0"/>
        <w:spacing w:before="200" w:line-rule="auto"/>
        <w:ind w:firstLine="540"/>
        <w:jc w:val="both"/>
      </w:pPr>
      <w:r>
        <w:rPr>
          <w:sz w:val="20"/>
        </w:rPr>
        <w:t xml:space="preserve">т) порядок установления стимулирующих выплат работникам 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и новорожденным в период родов и послеродовой период, а также услуги 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w:t>
      </w:r>
      <w:hyperlink w:history="0" r:id="rId147" w:tooltip="Приказ Минздрава России от 02.04.2020 N 266н &quot;О Порядке расходования средств, перечисленных медицинским организациям на оплату услуг, оказанных женщинам в период беременности (услуг по оказанию 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ой период, а также услуг по проведению профилактических медицинских осмотров ребенка в течение первого года жизни и критериях качества ме {КонсультантПлюс}">
        <w:r>
          <w:rPr>
            <w:sz w:val="20"/>
            <w:color w:val="0000ff"/>
          </w:rPr>
          <w:t xml:space="preserve">приказом</w:t>
        </w:r>
      </w:hyperlink>
      <w:r>
        <w:rPr>
          <w:sz w:val="20"/>
        </w:rPr>
        <w:t xml:space="preserve"> Министерства здравоохранения Российской Федерации от 2 апреля 2020 г. N 266н. Размер стимулирующих выплат рекомендуется устанавливать в зависимости от качества оказанной медицинской помощи, оцениваемого в соответствии с </w:t>
      </w:r>
      <w:hyperlink w:history="0" r:id="rId148" w:tooltip="Приказ Минздрава России от 02.04.2020 N 266н &quot;О Порядке расходования средств, перечисленных медицинским организациям на оплату услуг, оказанных женщинам в период беременности (услуг по оказанию 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ой период, а также услуг по проведению профилактических медицинских осмотров ребенка в течение первого года жизни и критериях качества ме {КонсультантПлюс}">
        <w:r>
          <w:rPr>
            <w:sz w:val="20"/>
            <w:color w:val="0000ff"/>
          </w:rPr>
          <w:t xml:space="preserve">критериями</w:t>
        </w:r>
      </w:hyperlink>
      <w:r>
        <w:rPr>
          <w:sz w:val="20"/>
        </w:rPr>
        <w:t xml:space="preserve"> качества медицинской помощи, предусмотренными в соответствии с приказом Министерства здравоохранения Российской Федерации от 2 апреля 2020 г. N 266н.</w:t>
      </w:r>
    </w:p>
    <w:p>
      <w:pPr>
        <w:pStyle w:val="0"/>
        <w:jc w:val="center"/>
      </w:pPr>
      <w:r>
        <w:rPr>
          <w:sz w:val="20"/>
        </w:rPr>
      </w:r>
    </w:p>
    <w:p>
      <w:pPr>
        <w:pStyle w:val="2"/>
        <w:outlineLvl w:val="0"/>
        <w:jc w:val="center"/>
      </w:pPr>
      <w:r>
        <w:rPr>
          <w:sz w:val="20"/>
        </w:rPr>
        <w:t xml:space="preserve">XI. Особенности формирования систем оплаты труда работников</w:t>
      </w:r>
    </w:p>
    <w:p>
      <w:pPr>
        <w:pStyle w:val="2"/>
        <w:jc w:val="center"/>
      </w:pPr>
      <w:r>
        <w:rPr>
          <w:sz w:val="20"/>
        </w:rPr>
        <w:t xml:space="preserve">государственных и муниципальных учреждений в сфере культуры</w:t>
      </w:r>
    </w:p>
    <w:p>
      <w:pPr>
        <w:pStyle w:val="0"/>
        <w:jc w:val="center"/>
      </w:pPr>
      <w:r>
        <w:rPr>
          <w:sz w:val="20"/>
        </w:rPr>
      </w:r>
    </w:p>
    <w:p>
      <w:pPr>
        <w:pStyle w:val="0"/>
        <w:ind w:firstLine="540"/>
        <w:jc w:val="both"/>
      </w:pPr>
      <w:r>
        <w:rPr>
          <w:sz w:val="20"/>
        </w:rPr>
        <w:t xml:space="preserve">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pPr>
        <w:pStyle w:val="0"/>
        <w:spacing w:before="200" w:line-rule="auto"/>
        <w:ind w:firstLine="540"/>
        <w:jc w:val="both"/>
      </w:pPr>
      <w:r>
        <w:rPr>
          <w:sz w:val="20"/>
        </w:rPr>
        <w:t xml:space="preserve">а) обеспечивать недопущение снижения установленного </w:t>
      </w:r>
      <w:hyperlink w:history="0" r:id="rId149"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показателя оплаты труда работников учреждений культуры;</w:t>
      </w:r>
    </w:p>
    <w:p>
      <w:pPr>
        <w:pStyle w:val="0"/>
        <w:spacing w:before="200" w:line-rule="auto"/>
        <w:ind w:firstLine="540"/>
        <w:jc w:val="both"/>
      </w:pPr>
      <w:r>
        <w:rPr>
          <w:sz w:val="20"/>
        </w:rPr>
        <w:t xml:space="preserve">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pPr>
        <w:pStyle w:val="0"/>
        <w:spacing w:before="200" w:line-rule="auto"/>
        <w:ind w:firstLine="540"/>
        <w:jc w:val="both"/>
      </w:pPr>
      <w:r>
        <w:rPr>
          <w:sz w:val="20"/>
        </w:rPr>
        <w:t xml:space="preserve">в)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pPr>
        <w:pStyle w:val="0"/>
        <w:spacing w:before="200" w:line-rule="auto"/>
        <w:ind w:firstLine="540"/>
        <w:jc w:val="both"/>
      </w:pPr>
      <w:r>
        <w:rPr>
          <w:sz w:val="20"/>
        </w:rPr>
        <w:t xml:space="preserve">г) 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pPr>
        <w:pStyle w:val="0"/>
        <w:spacing w:before="200" w:line-rule="auto"/>
        <w:ind w:firstLine="540"/>
        <w:jc w:val="both"/>
      </w:pPr>
      <w:r>
        <w:rPr>
          <w:sz w:val="20"/>
        </w:rPr>
        <w:t xml:space="preserve">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согласно изменениям, внесенным Федеральным </w:t>
      </w:r>
      <w:hyperlink w:history="0" r:id="rId150" w:tooltip="Федеральный закон от 04.11.2022 N 434-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4 ноября 2022 г. N 434-ФЗ "О внесении изменений в Трудовой кодекс Российской Федерации", оплачивать время, в течение которого они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и порядке, которые устанавливаются коллективным договором, локальным нормативным актом, трудовым договором;</w:t>
      </w:r>
    </w:p>
    <w:p>
      <w:pPr>
        <w:pStyle w:val="0"/>
        <w:spacing w:before="200" w:line-rule="auto"/>
        <w:ind w:firstLine="540"/>
        <w:jc w:val="both"/>
      </w:pPr>
      <w:r>
        <w:rPr>
          <w:sz w:val="20"/>
        </w:rPr>
        <w:t xml:space="preserve">е)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культуры при установлении условий оплаты труда руководителю учреждения культуры исходить из необходимости обеспечения непревышения предусмотренного частью второй </w:t>
      </w:r>
      <w:hyperlink w:history="0" r:id="rId151"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статьи 145</w:t>
        </w:r>
      </w:hyperlink>
      <w:r>
        <w:rPr>
          <w:sz w:val="20"/>
        </w:rPr>
        <w:t xml:space="preserve">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pPr>
        <w:pStyle w:val="0"/>
        <w:spacing w:before="200" w:line-rule="auto"/>
        <w:ind w:firstLine="540"/>
        <w:jc w:val="both"/>
      </w:pPr>
      <w:r>
        <w:rPr>
          <w:sz w:val="20"/>
        </w:rPr>
        <w:t xml:space="preserve">ж) 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w:t>
      </w:r>
    </w:p>
    <w:p>
      <w:pPr>
        <w:pStyle w:val="0"/>
        <w:spacing w:before="200" w:line-rule="auto"/>
        <w:ind w:firstLine="540"/>
        <w:jc w:val="both"/>
      </w:pPr>
      <w:r>
        <w:rPr>
          <w:sz w:val="20"/>
        </w:rPr>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w:t>
      </w:r>
      <w:r>
        <w:rPr>
          <w:sz w:val="20"/>
        </w:rPr>
        <w:t xml:space="preserve">shtat.mkrf.ru</w:t>
      </w:r>
      <w:r>
        <w:rPr>
          <w:sz w:val="20"/>
        </w:rPr>
        <w:t xml:space="preserve">.</w:t>
      </w:r>
    </w:p>
    <w:p>
      <w:pPr>
        <w:pStyle w:val="0"/>
        <w:spacing w:before="200" w:line-rule="auto"/>
        <w:ind w:firstLine="540"/>
        <w:jc w:val="both"/>
      </w:pPr>
      <w:r>
        <w:rPr>
          <w:sz w:val="20"/>
        </w:rPr>
        <w:t xml:space="preserve">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pPr>
        <w:pStyle w:val="0"/>
        <w:jc w:val="center"/>
      </w:pPr>
      <w:r>
        <w:rPr>
          <w:sz w:val="20"/>
        </w:rPr>
      </w:r>
    </w:p>
    <w:bookmarkStart w:id="310" w:name="P310"/>
    <w:bookmarkEnd w:id="310"/>
    <w:p>
      <w:pPr>
        <w:pStyle w:val="2"/>
        <w:outlineLvl w:val="0"/>
        <w:jc w:val="center"/>
      </w:pPr>
      <w:r>
        <w:rPr>
          <w:sz w:val="20"/>
        </w:rPr>
        <w:t xml:space="preserve">XII. Особенности формирования систем оплаты труда</w:t>
      </w:r>
    </w:p>
    <w:p>
      <w:pPr>
        <w:pStyle w:val="2"/>
        <w:jc w:val="center"/>
      </w:pPr>
      <w:r>
        <w:rPr>
          <w:sz w:val="20"/>
        </w:rPr>
        <w:t xml:space="preserve">работников государственных и муниципальных учреждений</w:t>
      </w:r>
    </w:p>
    <w:p>
      <w:pPr>
        <w:pStyle w:val="2"/>
        <w:jc w:val="center"/>
      </w:pPr>
      <w:r>
        <w:rPr>
          <w:sz w:val="20"/>
        </w:rPr>
        <w:t xml:space="preserve">физической культуры и спорта</w:t>
      </w:r>
    </w:p>
    <w:p>
      <w:pPr>
        <w:pStyle w:val="0"/>
        <w:jc w:val="center"/>
      </w:pPr>
      <w:r>
        <w:rPr>
          <w:sz w:val="20"/>
        </w:rPr>
      </w:r>
    </w:p>
    <w:p>
      <w:pPr>
        <w:pStyle w:val="0"/>
        <w:ind w:firstLine="540"/>
        <w:jc w:val="both"/>
      </w:pPr>
      <w:r>
        <w:rPr>
          <w:sz w:val="20"/>
        </w:rPr>
        <w:t xml:space="preserve">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pPr>
        <w:pStyle w:val="0"/>
        <w:spacing w:before="200" w:line-rule="auto"/>
        <w:ind w:firstLine="540"/>
        <w:jc w:val="both"/>
      </w:pPr>
      <w:r>
        <w:rPr>
          <w:sz w:val="20"/>
        </w:rPr>
        <w:t xml:space="preserve">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pPr>
        <w:pStyle w:val="0"/>
        <w:spacing w:before="200" w:line-rule="auto"/>
        <w:ind w:firstLine="540"/>
        <w:jc w:val="both"/>
      </w:pPr>
      <w:r>
        <w:rPr>
          <w:sz w:val="20"/>
        </w:rPr>
        <w:t xml:space="preserve">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2023 году уровня номинальной заработной платы в среднем не ниже уровня, достигнутого в 2022 году (определяется на основе статистических данных, формируемых Министерством спорта Российской Федерации по </w:t>
      </w:r>
      <w:hyperlink w:history="0" r:id="rId152" w:tooltip="Приказ Росстата от 10.11.2022 N 824 &quot;Об утверждении формы федерального статистического наблюдения для организации Министерством спорта Российской Федерации федерального статистического наблюдения численности и оплаты труда работников организаций в области физической культуры и спорта&quot; ------------ Утратил силу или отменен {КонсультантПлюс}">
        <w:r>
          <w:rPr>
            <w:sz w:val="20"/>
            <w:color w:val="0000ff"/>
          </w:rPr>
          <w:t xml:space="preserve">форме</w:t>
        </w:r>
      </w:hyperlink>
      <w:r>
        <w:rPr>
          <w:sz w:val="20"/>
        </w:rPr>
        <w:t xml:space="preserve"> N ЗП-физическая культура и спорт "Сведения о численности и оплате труда работников организаций в области физической культуры и спорта по категориям персонала", утвержденной приказом Росстата 10 ноября 2022 г. N 824).</w:t>
      </w:r>
    </w:p>
    <w:p>
      <w:pPr>
        <w:pStyle w:val="0"/>
        <w:spacing w:before="200" w:line-rule="auto"/>
        <w:ind w:firstLine="540"/>
        <w:jc w:val="both"/>
      </w:pPr>
      <w:r>
        <w:rPr>
          <w:sz w:val="20"/>
        </w:rPr>
        <w:t xml:space="preserve">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pPr>
        <w:pStyle w:val="0"/>
        <w:spacing w:before="200" w:line-rule="auto"/>
        <w:ind w:firstLine="540"/>
        <w:jc w:val="both"/>
      </w:pPr>
      <w:r>
        <w:rPr>
          <w:sz w:val="20"/>
        </w:rPr>
        <w:t xml:space="preserve">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pPr>
        <w:pStyle w:val="0"/>
        <w:spacing w:before="200" w:line-rule="auto"/>
        <w:ind w:firstLine="540"/>
        <w:jc w:val="both"/>
      </w:pPr>
      <w:r>
        <w:rPr>
          <w:sz w:val="20"/>
        </w:rPr>
        <w:t xml:space="preserve">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w:t>
      </w:r>
    </w:p>
    <w:p>
      <w:pPr>
        <w:pStyle w:val="0"/>
        <w:spacing w:before="200" w:line-rule="auto"/>
        <w:ind w:firstLine="540"/>
        <w:jc w:val="both"/>
      </w:pPr>
      <w:r>
        <w:rPr>
          <w:sz w:val="20"/>
        </w:rPr>
        <w:t xml:space="preserve">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трудовым договором, основанным на принципах "эффективного контракта".</w:t>
      </w:r>
    </w:p>
    <w:p>
      <w:pPr>
        <w:pStyle w:val="0"/>
        <w:spacing w:before="200" w:line-rule="auto"/>
        <w:ind w:firstLine="540"/>
        <w:jc w:val="both"/>
      </w:pPr>
      <w:r>
        <w:rPr>
          <w:sz w:val="20"/>
        </w:rPr>
        <w:t xml:space="preserve">В целях обеспечения единых подходов к регулированию заработной платы рекомендуется устанавливать системы оплаты труда тренеров и других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pPr>
        <w:pStyle w:val="0"/>
        <w:spacing w:before="200" w:line-rule="auto"/>
        <w:ind w:firstLine="540"/>
        <w:jc w:val="both"/>
      </w:pPr>
      <w:r>
        <w:rPr>
          <w:sz w:val="20"/>
        </w:rPr>
        <w:t xml:space="preserve">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w:t>
      </w:r>
      <w:hyperlink w:history="0" r:id="rId153" w:tooltip="&quot;Трехстороннее отраслевое соглашение по организациям сферы физической культуры и спорта Российской Федерации на 2021 - 2023 годы&quot; (утв. Минспортом России, Общественной организацией &quot;Общероссийский профессиональный союз работников физической культуры, спорта и туризма Российской Федерации&quot;, Общероссийским отраслевым объединением работодателей &quot;Ассоциация работодателей в сфере физической культуры, спорта, фитнес и спортивной индустрии&quot; 13.08.2021) {КонсультантПлюс}">
        <w:r>
          <w:rPr>
            <w:sz w:val="20"/>
            <w:color w:val="0000ff"/>
          </w:rPr>
          <w:t xml:space="preserve">соглашении</w:t>
        </w:r>
      </w:hyperlink>
      <w:r>
        <w:rPr>
          <w:sz w:val="20"/>
        </w:rPr>
        <w:t xml:space="preserve"> по организациям сферы физической культуры и спорта Российской Федерации, заключенном между Министерством спорта Российской Федерации,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"Ассоциация работодателей в сфере физической культуры, спорта, фитнес- и спортивной индустрии".</w:t>
      </w:r>
    </w:p>
    <w:p>
      <w:pPr>
        <w:pStyle w:val="0"/>
        <w:spacing w:before="200" w:line-rule="auto"/>
        <w:ind w:firstLine="540"/>
        <w:jc w:val="both"/>
      </w:pPr>
      <w:r>
        <w:rPr>
          <w:sz w:val="20"/>
        </w:rPr>
        <w:t xml:space="preserve">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pPr>
        <w:pStyle w:val="0"/>
        <w:spacing w:before="200" w:line-rule="auto"/>
        <w:ind w:firstLine="540"/>
        <w:jc w:val="both"/>
      </w:pPr>
      <w:r>
        <w:rPr>
          <w:sz w:val="20"/>
        </w:rPr>
        <w:t xml:space="preserve">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pPr>
        <w:pStyle w:val="0"/>
        <w:spacing w:before="200" w:line-rule="auto"/>
        <w:ind w:firstLine="540"/>
        <w:jc w:val="both"/>
      </w:pPr>
      <w:r>
        <w:rPr>
          <w:sz w:val="20"/>
        </w:rPr>
        <w:t xml:space="preserve">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pPr>
        <w:pStyle w:val="0"/>
        <w:spacing w:before="200" w:line-rule="auto"/>
        <w:ind w:firstLine="540"/>
        <w:jc w:val="both"/>
      </w:pPr>
      <w:r>
        <w:rPr>
          <w:sz w:val="20"/>
        </w:rPr>
        <w:t xml:space="preserve">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pPr>
        <w:pStyle w:val="0"/>
        <w:spacing w:before="200" w:line-rule="auto"/>
        <w:ind w:firstLine="540"/>
        <w:jc w:val="both"/>
      </w:pPr>
      <w:r>
        <w:rPr>
          <w:sz w:val="20"/>
        </w:rPr>
        <w:t xml:space="preserve">Объем тренерской нагрузки, установленный работнику, оговаривается в трудовом договоре (дополнительном соглашении к трудовому договору).</w:t>
      </w:r>
    </w:p>
    <w:p>
      <w:pPr>
        <w:pStyle w:val="0"/>
        <w:spacing w:before="200" w:line-rule="auto"/>
        <w:ind w:firstLine="540"/>
        <w:jc w:val="both"/>
      </w:pPr>
      <w:r>
        <w:rPr>
          <w:sz w:val="20"/>
        </w:rPr>
        <w:t xml:space="preserve">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pPr>
        <w:pStyle w:val="0"/>
        <w:spacing w:before="200" w:line-rule="auto"/>
        <w:ind w:firstLine="540"/>
        <w:jc w:val="both"/>
      </w:pPr>
      <w:r>
        <w:rPr>
          <w:sz w:val="20"/>
        </w:rPr>
        <w:t xml:space="preserve">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pPr>
        <w:pStyle w:val="0"/>
        <w:spacing w:before="200" w:line-rule="auto"/>
        <w:ind w:firstLine="540"/>
        <w:jc w:val="both"/>
      </w:pPr>
      <w:r>
        <w:rPr>
          <w:sz w:val="20"/>
        </w:rPr>
        <w:t xml:space="preserve">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pPr>
        <w:pStyle w:val="0"/>
        <w:spacing w:before="200" w:line-rule="auto"/>
        <w:ind w:firstLine="540"/>
        <w:jc w:val="both"/>
      </w:pPr>
      <w:r>
        <w:rPr>
          <w:sz w:val="20"/>
        </w:rPr>
        <w:t xml:space="preserve">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pPr>
        <w:pStyle w:val="0"/>
        <w:spacing w:before="200" w:line-rule="auto"/>
        <w:ind w:firstLine="540"/>
        <w:jc w:val="both"/>
      </w:pPr>
      <w:r>
        <w:rPr>
          <w:sz w:val="20"/>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hyperlink w:history="0" r:id="rId154" w:tooltip="&quot;Трудовой кодекс Российской Федерации&quot; от 30.12.2001 N 197-ФЗ (ред. от 04.08.2023, с изм. от 19.12.2023) (с изм. и доп., вступ. в силу с 01.09.2023) ------------ Недействующая редакция {КонсультантПлюс}">
        <w:r>
          <w:rPr>
            <w:sz w:val="20"/>
            <w:color w:val="0000ff"/>
          </w:rPr>
          <w:t xml:space="preserve">статьей 372</w:t>
        </w:r>
      </w:hyperlink>
      <w:r>
        <w:rPr>
          <w:sz w:val="20"/>
        </w:rPr>
        <w:t xml:space="preserve"> Трудового кодекса Российской Федерации для принятия локальных нормативных актов, либо коллективным договором, трудовым договором.</w:t>
      </w:r>
    </w:p>
    <w:p>
      <w:pPr>
        <w:pStyle w:val="0"/>
        <w:spacing w:before="200" w:line-rule="auto"/>
        <w:ind w:firstLine="540"/>
        <w:jc w:val="both"/>
      </w:pPr>
      <w:r>
        <w:rPr>
          <w:sz w:val="20"/>
        </w:rPr>
        <w:t xml:space="preserve">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pPr>
        <w:pStyle w:val="0"/>
        <w:spacing w:before="200" w:line-rule="auto"/>
        <w:ind w:firstLine="540"/>
        <w:jc w:val="both"/>
      </w:pPr>
      <w:r>
        <w:rPr>
          <w:sz w:val="20"/>
        </w:rPr>
        <w:t xml:space="preserve">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pPr>
        <w:pStyle w:val="0"/>
        <w:spacing w:before="200" w:line-rule="auto"/>
        <w:ind w:firstLine="540"/>
        <w:jc w:val="both"/>
      </w:pPr>
      <w:r>
        <w:rPr>
          <w:sz w:val="20"/>
        </w:rPr>
        <w:t xml:space="preserve">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pPr>
        <w:pStyle w:val="0"/>
        <w:spacing w:before="200" w:line-rule="auto"/>
        <w:ind w:firstLine="540"/>
        <w:jc w:val="both"/>
      </w:pPr>
      <w:r>
        <w:rPr>
          <w:sz w:val="20"/>
        </w:rPr>
        <w:t xml:space="preserve">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слова "олимпийский", "паралимпийский", "сурдлимпийский" или образованные на их основе слова и словосочетания, устанавливать стимулирующие выплаты к ставке заработной платы, окладу (должностному окладу) в размере 15 процентов.</w:t>
      </w:r>
    </w:p>
    <w:p>
      <w:pPr>
        <w:pStyle w:val="0"/>
        <w:spacing w:before="200" w:line-rule="auto"/>
        <w:ind w:firstLine="540"/>
        <w:jc w:val="both"/>
      </w:pPr>
      <w:r>
        <w:rPr>
          <w:sz w:val="20"/>
        </w:rPr>
        <w:t xml:space="preserve">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pPr>
        <w:pStyle w:val="0"/>
        <w:spacing w:before="200" w:line-rule="auto"/>
        <w:ind w:firstLine="540"/>
        <w:jc w:val="both"/>
      </w:pPr>
      <w:r>
        <w:rPr>
          <w:sz w:val="20"/>
        </w:rPr>
        <w:t xml:space="preserve">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pPr>
        <w:pStyle w:val="0"/>
        <w:spacing w:before="200" w:line-rule="auto"/>
        <w:ind w:firstLine="540"/>
        <w:jc w:val="both"/>
      </w:pPr>
      <w:r>
        <w:rPr>
          <w:sz w:val="20"/>
        </w:rPr>
        <w:t xml:space="preserve">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pPr>
        <w:pStyle w:val="0"/>
        <w:spacing w:before="200" w:line-rule="auto"/>
        <w:ind w:firstLine="540"/>
        <w:jc w:val="both"/>
      </w:pPr>
      <w:r>
        <w:rPr>
          <w:sz w:val="20"/>
        </w:rPr>
        <w:t xml:space="preserve">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pPr>
        <w:pStyle w:val="0"/>
        <w:spacing w:before="200" w:line-rule="auto"/>
        <w:ind w:firstLine="540"/>
        <w:jc w:val="both"/>
      </w:pPr>
      <w:r>
        <w:rPr>
          <w:sz w:val="20"/>
        </w:rPr>
        <w:t xml:space="preserve">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pPr>
        <w:pStyle w:val="0"/>
        <w:spacing w:before="200" w:line-rule="auto"/>
        <w:ind w:firstLine="540"/>
        <w:jc w:val="both"/>
      </w:pPr>
      <w:r>
        <w:rPr>
          <w:sz w:val="20"/>
        </w:rPr>
        <w:t xml:space="preserve">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pPr>
        <w:pStyle w:val="0"/>
        <w:spacing w:before="200" w:line-rule="auto"/>
        <w:ind w:firstLine="540"/>
        <w:jc w:val="both"/>
      </w:pPr>
      <w:r>
        <w:rPr>
          <w:sz w:val="20"/>
        </w:rPr>
        <w:t xml:space="preserve">К окладам (должностным окладам) работников государственных и муниципальных учреждений физической культуры и спорта рекомендуется применять виды выплат стимулирующего характера за интенсивность и высокие результаты работы, качество выполняемых работ, стаж непрерывной работы, выслугу лет.</w:t>
      </w:r>
    </w:p>
    <w:p>
      <w:pPr>
        <w:pStyle w:val="0"/>
        <w:spacing w:before="200" w:line-rule="auto"/>
        <w:ind w:firstLine="540"/>
        <w:jc w:val="both"/>
      </w:pPr>
      <w:r>
        <w:rPr>
          <w:sz w:val="20"/>
        </w:rPr>
        <w:t xml:space="preserve">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pPr>
        <w:pStyle w:val="0"/>
        <w:spacing w:before="200" w:line-rule="auto"/>
        <w:ind w:firstLine="540"/>
        <w:jc w:val="both"/>
      </w:pPr>
      <w:r>
        <w:rPr>
          <w:sz w:val="20"/>
        </w:rPr>
        <w:t xml:space="preserve">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рекомендуется устанавливать стимулирующие выплаты к ставке заработной платы в размере до 50 процентов.</w:t>
      </w:r>
    </w:p>
    <w:p>
      <w:pPr>
        <w:pStyle w:val="0"/>
        <w:spacing w:before="200" w:line-rule="auto"/>
        <w:ind w:firstLine="540"/>
        <w:jc w:val="both"/>
      </w:pPr>
      <w:r>
        <w:rPr>
          <w:sz w:val="20"/>
        </w:rPr>
        <w:t xml:space="preserve">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pPr>
        <w:pStyle w:val="0"/>
        <w:spacing w:before="200" w:line-rule="auto"/>
        <w:ind w:firstLine="540"/>
        <w:jc w:val="both"/>
      </w:pPr>
      <w:r>
        <w:rPr>
          <w:sz w:val="20"/>
        </w:rPr>
        <w:t xml:space="preserve">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pPr>
        <w:pStyle w:val="0"/>
        <w:spacing w:before="200" w:line-rule="auto"/>
        <w:ind w:firstLine="540"/>
        <w:jc w:val="both"/>
      </w:pPr>
      <w:r>
        <w:rPr>
          <w:sz w:val="20"/>
        </w:rPr>
        <w:t xml:space="preserve">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pPr>
        <w:pStyle w:val="0"/>
        <w:spacing w:before="200" w:line-rule="auto"/>
        <w:ind w:firstLine="540"/>
        <w:jc w:val="both"/>
      </w:pPr>
      <w:r>
        <w:rPr>
          <w:sz w:val="20"/>
        </w:rPr>
        <w:t xml:space="preserve">Органы исполнительной власти субъектов Российской Федерации 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pPr>
        <w:pStyle w:val="0"/>
        <w:spacing w:before="200" w:line-rule="auto"/>
        <w:ind w:firstLine="540"/>
        <w:jc w:val="both"/>
      </w:pPr>
      <w:r>
        <w:rPr>
          <w:sz w:val="20"/>
        </w:rPr>
        <w:t xml:space="preserve">Тренерам и иным специалистам учреждений физической культуры и спорта, 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pPr>
        <w:pStyle w:val="0"/>
        <w:spacing w:before="200" w:line-rule="auto"/>
        <w:ind w:firstLine="540"/>
        <w:jc w:val="both"/>
      </w:pPr>
      <w:r>
        <w:rPr>
          <w:sz w:val="20"/>
        </w:rPr>
        <w:t xml:space="preserve">Тренеры и иные специалисты, ранее участвовавшие не менее 2 лет 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в течение не менее 4 лет с момента достижения спортсменом результатов, а также на дополнительное поощрение, в том числе за счет грантовых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Олимпийских, Паралимпийских, Сурдлимпийских играх.</w:t>
      </w:r>
    </w:p>
    <w:p>
      <w:pPr>
        <w:pStyle w:val="0"/>
        <w:spacing w:before="200" w:line-rule="auto"/>
        <w:ind w:firstLine="540"/>
        <w:jc w:val="both"/>
      </w:pPr>
      <w:r>
        <w:rPr>
          <w:sz w:val="20"/>
        </w:rPr>
        <w:t xml:space="preserve">Вправе устанавливать единовременную стимулирующую выплату тренерам, осуществляющим или осуществлявшим спортивную подготовку спортсмена, в связи с заключением спортсменом договора (профессионального контракта) с профессиональным спортивным клубом и участием в профессиональных спортивных соревнованиях.</w:t>
      </w:r>
    </w:p>
    <w:p>
      <w:pPr>
        <w:pStyle w:val="0"/>
        <w:spacing w:before="200" w:line-rule="auto"/>
        <w:ind w:firstLine="540"/>
        <w:jc w:val="both"/>
      </w:pPr>
      <w:r>
        <w:rPr>
          <w:sz w:val="20"/>
        </w:rPr>
        <w:t xml:space="preserve">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pPr>
        <w:pStyle w:val="0"/>
        <w:spacing w:before="200" w:line-rule="auto"/>
        <w:ind w:firstLine="540"/>
        <w:jc w:val="both"/>
      </w:pPr>
      <w:r>
        <w:rPr>
          <w:sz w:val="20"/>
        </w:rPr>
        <w:t xml:space="preserve">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pPr>
        <w:pStyle w:val="0"/>
        <w:jc w:val="center"/>
      </w:pPr>
      <w:r>
        <w:rPr>
          <w:sz w:val="20"/>
        </w:rPr>
      </w:r>
    </w:p>
    <w:p>
      <w:pPr>
        <w:pStyle w:val="2"/>
        <w:outlineLvl w:val="0"/>
        <w:jc w:val="center"/>
      </w:pPr>
      <w:r>
        <w:rPr>
          <w:sz w:val="20"/>
        </w:rPr>
        <w:t xml:space="preserve">XIII. Особенности формирования систем оплаты труда</w:t>
      </w:r>
    </w:p>
    <w:p>
      <w:pPr>
        <w:pStyle w:val="2"/>
        <w:jc w:val="center"/>
      </w:pPr>
      <w:r>
        <w:rPr>
          <w:sz w:val="20"/>
        </w:rPr>
        <w:t xml:space="preserve">работников государственных учреждений ветеринарии</w:t>
      </w:r>
    </w:p>
    <w:p>
      <w:pPr>
        <w:pStyle w:val="0"/>
        <w:jc w:val="center"/>
      </w:pPr>
      <w:r>
        <w:rPr>
          <w:sz w:val="20"/>
        </w:rPr>
      </w:r>
    </w:p>
    <w:p>
      <w:pPr>
        <w:pStyle w:val="0"/>
        <w:ind w:firstLine="540"/>
        <w:jc w:val="both"/>
      </w:pPr>
      <w:r>
        <w:rPr>
          <w:sz w:val="20"/>
        </w:rPr>
        <w:t xml:space="preserve">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w:t>
      </w:r>
    </w:p>
    <w:p>
      <w:pPr>
        <w:pStyle w:val="0"/>
        <w:spacing w:before="200" w:line-rule="auto"/>
        <w:ind w:firstLine="540"/>
        <w:jc w:val="both"/>
      </w:pPr>
      <w:r>
        <w:rPr>
          <w:sz w:val="20"/>
        </w:rPr>
        <w:t xml:space="preserve">а) не допускать снижения уровня заработной платы работников государственных учреждений ветеринарии, достигнутого в 2022 году;</w:t>
      </w:r>
    </w:p>
    <w:p>
      <w:pPr>
        <w:pStyle w:val="0"/>
        <w:spacing w:before="200" w:line-rule="auto"/>
        <w:ind w:firstLine="540"/>
        <w:jc w:val="both"/>
      </w:pPr>
      <w:r>
        <w:rPr>
          <w:sz w:val="20"/>
        </w:rPr>
        <w:t xml:space="preserve">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w:t>
      </w:r>
    </w:p>
    <w:p>
      <w:pPr>
        <w:pStyle w:val="0"/>
        <w:spacing w:before="200" w:line-rule="auto"/>
        <w:ind w:firstLine="540"/>
        <w:jc w:val="both"/>
      </w:pPr>
      <w:r>
        <w:rPr>
          <w:sz w:val="20"/>
        </w:rPr>
        <w:t xml:space="preserve">в) 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с работниками учреждений;</w:t>
      </w:r>
    </w:p>
    <w:p>
      <w:pPr>
        <w:pStyle w:val="0"/>
        <w:spacing w:before="200" w:line-rule="auto"/>
        <w:ind w:firstLine="540"/>
        <w:jc w:val="both"/>
      </w:pPr>
      <w:r>
        <w:rPr>
          <w:sz w:val="20"/>
        </w:rPr>
        <w:t xml:space="preserve">г) 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врачам-эпизоотологам, ветеринарным врачам-бактериологам, ветеринарным врачам-микробиологам, ветеринарным врачам-вирусологам, ихтиопатологам,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 и иным работникам (рабочим), непосредственно участвующим в оказании помощи при ликвидации очагов особо опасных болезней животных, в том числе общих для человека и животных;</w:t>
      </w:r>
    </w:p>
    <w:p>
      <w:pPr>
        <w:pStyle w:val="0"/>
        <w:spacing w:before="200" w:line-rule="auto"/>
        <w:ind w:firstLine="540"/>
        <w:jc w:val="both"/>
      </w:pPr>
      <w:r>
        <w:rPr>
          <w:sz w:val="20"/>
        </w:rPr>
        <w:t xml:space="preserve">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 (или) 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pPr>
        <w:pStyle w:val="0"/>
        <w:spacing w:before="200" w:line-rule="auto"/>
        <w:ind w:firstLine="540"/>
        <w:jc w:val="both"/>
      </w:pPr>
      <w:r>
        <w:rPr>
          <w:sz w:val="20"/>
        </w:rPr>
        <w:t xml:space="preserve">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pPr>
        <w:pStyle w:val="0"/>
        <w:spacing w:before="200" w:line-rule="auto"/>
        <w:ind w:firstLine="540"/>
        <w:jc w:val="both"/>
      </w:pPr>
      <w:r>
        <w:rPr>
          <w:sz w:val="20"/>
        </w:rPr>
        <w:t xml:space="preserve">ж)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pPr>
        <w:pStyle w:val="0"/>
        <w:spacing w:before="200" w:line-rule="auto"/>
        <w:ind w:firstLine="540"/>
        <w:jc w:val="both"/>
      </w:pPr>
      <w:r>
        <w:rPr>
          <w:sz w:val="20"/>
        </w:rPr>
        <w:t xml:space="preserve">з) повышать оплату труда работников государственных учреждений ветеринарии за счет всех источников финансирования в рамках реализации Отраслевого </w:t>
      </w:r>
      <w:hyperlink w:history="0" r:id="rId155" w:tooltip="&quot;Отраслевое соглашение по агропромышленному комплексу Российской Федерации на 2021 - 2023 годы&quot; (утв. Союзом работодателей &quot;Общероссийское агропромышленное объединение работодателей &quot;Агропромышленный союз России&quot;, Ассоциацией крестьянских (фермерских) хозяйств и сельскохозяйственных кооперативов России, Профсоюзом работников агропромышленного комплекса РФ, Росрыболовством, Минсельхозом России, Россельхознадзором 14.09.2021) {КонсультантПлюс}">
        <w:r>
          <w:rPr>
            <w:sz w:val="20"/>
            <w:color w:val="0000ff"/>
          </w:rPr>
          <w:t xml:space="preserve">соглашения</w:t>
        </w:r>
      </w:hyperlink>
      <w:r>
        <w:rPr>
          <w:sz w:val="20"/>
        </w:rPr>
        <w:t xml:space="preserve"> по агропромышленному комплексу Российской Федерации на 2021 - 2023 годы для поэтапного достижения уровня оплаты труда не ниже размера среднемесячной заработной платы работников по субъекту Российской Федерации;</w:t>
      </w:r>
    </w:p>
    <w:p>
      <w:pPr>
        <w:pStyle w:val="0"/>
        <w:spacing w:before="200" w:line-rule="auto"/>
        <w:ind w:firstLine="540"/>
        <w:jc w:val="both"/>
      </w:pPr>
      <w:r>
        <w:rPr>
          <w:sz w:val="20"/>
        </w:rPr>
        <w:t xml:space="preserve">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w:t>
      </w:r>
      <w:hyperlink w:history="0" r:id="rId156" w:tooltip="Приказ Минздравсоцразвития РФ от 17.07.2008 N 339н &quot;Об утверждении профессиональных квалификационных групп должностей работников сельского хозяйства&quot; (Зарегистрировано в Минюсте РФ 31.07.2008 N 12048) {КонсультантПлюс}">
        <w:r>
          <w:rPr>
            <w:sz w:val="20"/>
            <w:color w:val="0000ff"/>
          </w:rPr>
          <w:t xml:space="preserve">группами</w:t>
        </w:r>
      </w:hyperlink>
      <w:r>
        <w:rPr>
          <w:sz w:val="20"/>
        </w:rPr>
        <w:t xml:space="preserve"> должностей работников сельского хозяйства, утвержденных приказом Министерства здравоохранения и социального развития Российской Федерации от 17 июля 2008 г. N 339н, </w:t>
      </w:r>
      <w:hyperlink w:history="0" r:id="rId157"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w:t>
      </w:r>
      <w:hyperlink w:history="0" r:id="rId158"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w:t>
      </w:r>
    </w:p>
    <w:p>
      <w:pPr>
        <w:pStyle w:val="0"/>
        <w:spacing w:before="200" w:line-rule="auto"/>
        <w:ind w:firstLine="540"/>
        <w:jc w:val="both"/>
      </w:pPr>
      <w:r>
        <w:rPr>
          <w:sz w:val="20"/>
        </w:rPr>
        <w:t xml:space="preserve">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pPr>
        <w:pStyle w:val="0"/>
        <w:spacing w:before="200" w:line-rule="auto"/>
        <w:ind w:firstLine="540"/>
        <w:jc w:val="both"/>
      </w:pPr>
      <w:r>
        <w:rPr>
          <w:sz w:val="20"/>
        </w:rPr>
        <w:t xml:space="preserve">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pPr>
        <w:pStyle w:val="0"/>
        <w:spacing w:before="200" w:line-rule="auto"/>
        <w:ind w:firstLine="540"/>
        <w:jc w:val="both"/>
      </w:pPr>
      <w:r>
        <w:rPr>
          <w:sz w:val="20"/>
        </w:rPr>
        <w:t xml:space="preserve">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 20% - при выслуге от 10 до 15 лет; 30% - при выслуге от 15 лет и более;</w:t>
      </w:r>
    </w:p>
    <w:p>
      <w:pPr>
        <w:pStyle w:val="0"/>
        <w:spacing w:before="200" w:line-rule="auto"/>
        <w:ind w:firstLine="540"/>
        <w:jc w:val="both"/>
      </w:pPr>
      <w:r>
        <w:rPr>
          <w:sz w:val="20"/>
        </w:rPr>
        <w:t xml:space="preserve">н) предусмотреть единовременную выплату выпускникам образовательных организаций, трудоустроившимся в государственные учреждения ветеринарии;</w:t>
      </w:r>
    </w:p>
    <w:p>
      <w:pPr>
        <w:pStyle w:val="0"/>
        <w:spacing w:before="200" w:line-rule="auto"/>
        <w:ind w:firstLine="540"/>
        <w:jc w:val="both"/>
      </w:pPr>
      <w:r>
        <w:rPr>
          <w:sz w:val="20"/>
        </w:rPr>
        <w:t xml:space="preserve">о) производить выплату процентной надбавки к заработной плате молодежи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 в соответствии с Отраслевым </w:t>
      </w:r>
      <w:hyperlink w:history="0" r:id="rId159" w:tooltip="&quot;Отраслевое соглашение по агропромышленному комплексу Российской Федерации на 2021 - 2023 годы&quot; (утв. Союзом работодателей &quot;Общероссийское агропромышленное объединение работодателей &quot;Агропромышленный союз России&quot;, Ассоциацией крестьянских (фермерских) хозяйств и сельскохозяйственных кооперативов России, Профсоюзом работников агропромышленного комплекса РФ, Росрыболовством, Минсельхозом России, Россельхознадзором 14.09.2021) {КонсультантПлюс}">
        <w:r>
          <w:rPr>
            <w:sz w:val="20"/>
            <w:color w:val="0000ff"/>
          </w:rPr>
          <w:t xml:space="preserve">соглашением</w:t>
        </w:r>
      </w:hyperlink>
      <w:r>
        <w:rPr>
          <w:sz w:val="20"/>
        </w:rPr>
        <w:t xml:space="preserve"> по агропромышленному комплексу Российской Федерации на 2021 - 2023 годы.</w:t>
      </w:r>
    </w:p>
    <w:p>
      <w:pPr>
        <w:pStyle w:val="0"/>
        <w:ind w:firstLine="54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"Единые рекомендации по установлению на федеральном, региональном и местном уровнях систем оплаты труда работников госуд...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C586A1D8CC9CCEE7ED2AC33BEEB980CAB31A445580D4D9401B25338466B558544DB33BC8693EA7A3BF62B2F7A3966ED0083D7572A55AEE3SBJ2I" TargetMode = "External"/>
	<Relationship Id="rId8" Type="http://schemas.openxmlformats.org/officeDocument/2006/relationships/hyperlink" Target="consultantplus://offline/ref=94037C8F361D5F2FB5B95D640F652193282FBC777E5EA9E673BAC518E709DC2734F746A55868409256845CTFJ4I" TargetMode = "External"/>
	<Relationship Id="rId9" Type="http://schemas.openxmlformats.org/officeDocument/2006/relationships/hyperlink" Target="consultantplus://offline/ref=94037C8F361D5F2FB5B95D640F6521932E24B871750CFEE422EFCB1DEF59863722BE49A346694A8B508F0AA6D15E7A4BF35DEBC74F584828T2J1I" TargetMode = "External"/>
	<Relationship Id="rId10" Type="http://schemas.openxmlformats.org/officeDocument/2006/relationships/hyperlink" Target="consultantplus://offline/ref=94037C8F361D5F2FB5B95D640F652193282FBF74740FFEE422EFCB1DEF59863730BE11AF446E5C8D569A5CF797T0J8I" TargetMode = "External"/>
	<Relationship Id="rId11" Type="http://schemas.openxmlformats.org/officeDocument/2006/relationships/hyperlink" Target="consultantplus://offline/ref=94037C8F361D5F2FB5B95D640F6521932927BA71770EFEE422EFCB1DEF59863730BE11AF446E5C8D569A5CF797T0J8I" TargetMode = "External"/>
	<Relationship Id="rId12" Type="http://schemas.openxmlformats.org/officeDocument/2006/relationships/hyperlink" Target="consultantplus://offline/ref=94037C8F361D5F2FB5B95D640F6521932925B9717108FEE422EFCB1DEF59863730BE11AF446E5C8D569A5CF797T0J8I" TargetMode = "External"/>
	<Relationship Id="rId13" Type="http://schemas.openxmlformats.org/officeDocument/2006/relationships/hyperlink" Target="consultantplus://offline/ref=94037C8F361D5F2FB5B95D640F6521932923BB717D0BFEE422EFCB1DEF59863730BE11AF446E5C8D569A5CF797T0J8I" TargetMode = "External"/>
	<Relationship Id="rId14" Type="http://schemas.openxmlformats.org/officeDocument/2006/relationships/hyperlink" Target="consultantplus://offline/ref=94037C8F361D5F2FB5B95D640F652193282FBF74740FFEE422EFCB1DEF59863730BE11AF446E5C8D569A5CF797T0J8I" TargetMode = "External"/>
	<Relationship Id="rId15" Type="http://schemas.openxmlformats.org/officeDocument/2006/relationships/hyperlink" Target="consultantplus://offline/ref=94037C8F361D5F2FB5B95D640F6521932927BA71770EFEE422EFCB1DEF59863730BE11AF446E5C8D569A5CF797T0J8I" TargetMode = "External"/>
	<Relationship Id="rId16" Type="http://schemas.openxmlformats.org/officeDocument/2006/relationships/hyperlink" Target="consultantplus://offline/ref=94037C8F361D5F2FB5B95D640F6521932925B9717108FEE422EFCB1DEF59863730BE11AF446E5C8D569A5CF797T0J8I" TargetMode = "External"/>
	<Relationship Id="rId17" Type="http://schemas.openxmlformats.org/officeDocument/2006/relationships/hyperlink" Target="consultantplus://offline/ref=94037C8F361D5F2FB5B95D640F6521932923BB717D0BFEE422EFCB1DEF59863730BE11AF446E5C8D569A5CF797T0J8I" TargetMode = "External"/>
	<Relationship Id="rId18" Type="http://schemas.openxmlformats.org/officeDocument/2006/relationships/hyperlink" Target="consultantplus://offline/ref=94037C8F361D5F2FB5B95D640F6521932E24B871750CFEE422EFCB1DEF59863722BE49A346694B8C508F0AA6D15E7A4BF35DEBC74F584828T2J1I" TargetMode = "External"/>
	<Relationship Id="rId19" Type="http://schemas.openxmlformats.org/officeDocument/2006/relationships/hyperlink" Target="consultantplus://offline/ref=94037C8F361D5F2FB5B95D640F6521932B22BA7A7C03A3EE2AB6C71FE856D93225AF49A04177438E4A865EF5T9J6I" TargetMode = "External"/>
	<Relationship Id="rId20" Type="http://schemas.openxmlformats.org/officeDocument/2006/relationships/hyperlink" Target="consultantplus://offline/ref=94037C8F361D5F2FB5B95D640F652193282FBF74740FFEE422EFCB1DEF59863730BE11AF446E5C8D569A5CF797T0J8I" TargetMode = "External"/>
	<Relationship Id="rId21" Type="http://schemas.openxmlformats.org/officeDocument/2006/relationships/hyperlink" Target="consultantplus://offline/ref=94037C8F361D5F2FB5B95D640F6521932927BA71770EFEE422EFCB1DEF59863730BE11AF446E5C8D569A5CF797T0J8I" TargetMode = "External"/>
	<Relationship Id="rId22" Type="http://schemas.openxmlformats.org/officeDocument/2006/relationships/hyperlink" Target="consultantplus://offline/ref=94037C8F361D5F2FB5B95D640F6521932925B9717108FEE422EFCB1DEF59863730BE11AF446E5C8D569A5CF797T0J8I" TargetMode = "External"/>
	<Relationship Id="rId23" Type="http://schemas.openxmlformats.org/officeDocument/2006/relationships/hyperlink" Target="consultantplus://offline/ref=94037C8F361D5F2FB5B95D640F6521932923BB717D0BFEE422EFCB1DEF59863730BE11AF446E5C8D569A5CF797T0J8I" TargetMode = "External"/>
	<Relationship Id="rId24" Type="http://schemas.openxmlformats.org/officeDocument/2006/relationships/hyperlink" Target="consultantplus://offline/ref=94037C8F361D5F2FB5B95D640F652193282EBA73740CFEE422EFCB1DEF59863730BE11AF446E5C8D569A5CF797T0J8I" TargetMode = "External"/>
	<Relationship Id="rId25" Type="http://schemas.openxmlformats.org/officeDocument/2006/relationships/hyperlink" Target="consultantplus://offline/ref=94037C8F361D5F2FB5B95D640F652193282FBF74740FFEE422EFCB1DEF59863730BE11AF446E5C8D569A5CF797T0J8I" TargetMode = "External"/>
	<Relationship Id="rId26" Type="http://schemas.openxmlformats.org/officeDocument/2006/relationships/hyperlink" Target="consultantplus://offline/ref=94037C8F361D5F2FB5B95D640F6521932927BA71770EFEE422EFCB1DEF59863730BE11AF446E5C8D569A5CF797T0J8I" TargetMode = "External"/>
	<Relationship Id="rId27" Type="http://schemas.openxmlformats.org/officeDocument/2006/relationships/hyperlink" Target="consultantplus://offline/ref=94037C8F361D5F2FB5B95D640F6521932925B9717108FEE422EFCB1DEF59863730BE11AF446E5C8D569A5CF797T0J8I" TargetMode = "External"/>
	<Relationship Id="rId28" Type="http://schemas.openxmlformats.org/officeDocument/2006/relationships/hyperlink" Target="consultantplus://offline/ref=94037C8F361D5F2FB5B95D640F6521932923BB717D0BFEE422EFCB1DEF59863730BE11AF446E5C8D569A5CF797T0J8I" TargetMode = "External"/>
	<Relationship Id="rId29" Type="http://schemas.openxmlformats.org/officeDocument/2006/relationships/hyperlink" Target="consultantplus://offline/ref=94037C8F361D5F2FB5B95D640F6521932B26B37A7309FEE422EFCB1DEF59863730BE11AF446E5C8D569A5CF797T0J8I" TargetMode = "External"/>
	<Relationship Id="rId30" Type="http://schemas.openxmlformats.org/officeDocument/2006/relationships/hyperlink" Target="consultantplus://offline/ref=94037C8F361D5F2FB5B95D640F6521932822BD70750FFEE422EFCB1DEF59863730BE11AF446E5C8D569A5CF797T0J8I" TargetMode = "External"/>
	<Relationship Id="rId31" Type="http://schemas.openxmlformats.org/officeDocument/2006/relationships/hyperlink" Target="consultantplus://offline/ref=94037C8F361D5F2FB5B95D640F652193282FBF74740FFEE422EFCB1DEF59863730BE11AF446E5C8D569A5CF797T0J8I" TargetMode = "External"/>
	<Relationship Id="rId32" Type="http://schemas.openxmlformats.org/officeDocument/2006/relationships/hyperlink" Target="consultantplus://offline/ref=94037C8F361D5F2FB5B95D640F652193282FBF74740FFEE422EFCB1DEF59863730BE11AF446E5C8D569A5CF797T0J8I" TargetMode = "External"/>
	<Relationship Id="rId33" Type="http://schemas.openxmlformats.org/officeDocument/2006/relationships/hyperlink" Target="consultantplus://offline/ref=94037C8F361D5F2FB5B95D640F6521932E22B97B7D0CFEE422EFCB1DEF59863730BE11AF446E5C8D569A5CF797T0J8I" TargetMode = "External"/>
	<Relationship Id="rId34" Type="http://schemas.openxmlformats.org/officeDocument/2006/relationships/hyperlink" Target="consultantplus://offline/ref=94037C8F361D5F2FB5B95D640F652193292FB3777600FEE422EFCB1DEF59863730BE11AF446E5C8D569A5CF797T0J8I" TargetMode = "External"/>
	<Relationship Id="rId35" Type="http://schemas.openxmlformats.org/officeDocument/2006/relationships/hyperlink" Target="consultantplus://offline/ref=94037C8F361D5F2FB5B95D640F6521932325B2727203A3EE2AB6C71FE856D93225AF49A04177438E4A865EF5T9J6I" TargetMode = "External"/>
	<Relationship Id="rId36" Type="http://schemas.openxmlformats.org/officeDocument/2006/relationships/hyperlink" Target="consultantplus://offline/ref=94037C8F361D5F2FB5B95D640F6521932320B8757D03A3EE2AB6C71FE856D93225AF49A04177438E4A865EF5T9J6I" TargetMode = "External"/>
	<Relationship Id="rId37" Type="http://schemas.openxmlformats.org/officeDocument/2006/relationships/hyperlink" Target="consultantplus://offline/ref=94037C8F361D5F2FB5B95D640F6521932B22BC76760EFEE422EFCB1DEF59863722BE49A346694289568F0AA6D15E7A4BF35DEBC74F584828T2J1I" TargetMode = "External"/>
	<Relationship Id="rId38" Type="http://schemas.openxmlformats.org/officeDocument/2006/relationships/hyperlink" Target="consultantplus://offline/ref=94037C8F361D5F2FB5B95D640F6521932E24B871750CFEE422EFCB1DEF59863730BE11AF446E5C8D569A5CF797T0J8I" TargetMode = "External"/>
	<Relationship Id="rId39" Type="http://schemas.openxmlformats.org/officeDocument/2006/relationships/hyperlink" Target="consultantplus://offline/ref=94037C8F361D5F2FB5B95D640F6521932B25B271710CFEE422EFCB1DEF59863730BE11AF446E5C8D569A5CF797T0J8I" TargetMode = "External"/>
	<Relationship Id="rId40" Type="http://schemas.openxmlformats.org/officeDocument/2006/relationships/hyperlink" Target="consultantplus://offline/ref=94037C8F361D5F2FB5B95D640F6521932B24BB77740EFEE422EFCB1DEF59863730BE11AF446E5C8D569A5CF797T0J8I" TargetMode = "External"/>
	<Relationship Id="rId41" Type="http://schemas.openxmlformats.org/officeDocument/2006/relationships/hyperlink" Target="consultantplus://offline/ref=94037C8F361D5F2FB5B95D640F652193282FB9757000FEE422EFCB1DEF59863730BE11AF446E5C8D569A5CF797T0J8I" TargetMode = "External"/>
	<Relationship Id="rId42" Type="http://schemas.openxmlformats.org/officeDocument/2006/relationships/hyperlink" Target="consultantplus://offline/ref=94037C8F361D5F2FB5B95D640F6521932922B372770EFEE422EFCB1DEF59863730BE11AF446E5C8D569A5CF797T0J8I" TargetMode = "External"/>
	<Relationship Id="rId43" Type="http://schemas.openxmlformats.org/officeDocument/2006/relationships/hyperlink" Target="consultantplus://offline/ref=94037C8F361D5F2FB5B95D640F6521932922BC7B770FFEE422EFCB1DEF59863730BE11AF446E5C8D569A5CF797T0J8I" TargetMode = "External"/>
	<Relationship Id="rId44" Type="http://schemas.openxmlformats.org/officeDocument/2006/relationships/hyperlink" Target="consultantplus://offline/ref=94037C8F361D5F2FB5B95D640F652193282FBF74740FFEE422EFCB1DEF59863730BE11AF446E5C8D569A5CF797T0J8I" TargetMode = "External"/>
	<Relationship Id="rId45" Type="http://schemas.openxmlformats.org/officeDocument/2006/relationships/hyperlink" Target="consultantplus://offline/ref=94037C8F361D5F2FB5B95D640F6521932927BA71770EFEE422EFCB1DEF59863730BE11AF446E5C8D569A5CF797T0J8I" TargetMode = "External"/>
	<Relationship Id="rId46" Type="http://schemas.openxmlformats.org/officeDocument/2006/relationships/hyperlink" Target="consultantplus://offline/ref=94037C8F361D5F2FB5B95D640F6521932925B9717108FEE422EFCB1DEF59863730BE11AF446E5C8D569A5CF797T0J8I" TargetMode = "External"/>
	<Relationship Id="rId47" Type="http://schemas.openxmlformats.org/officeDocument/2006/relationships/hyperlink" Target="consultantplus://offline/ref=94037C8F361D5F2FB5B95D640F6521932923BB717D0BFEE422EFCB1DEF59863730BE11AF446E5C8D569A5CF797T0J8I" TargetMode = "External"/>
	<Relationship Id="rId48" Type="http://schemas.openxmlformats.org/officeDocument/2006/relationships/hyperlink" Target="consultantplus://offline/ref=94037C8F361D5F2FB5B95D640F652193282FBF74740FFEE422EFCB1DEF59863730BE11AF446E5C8D569A5CF797T0J8I" TargetMode = "External"/>
	<Relationship Id="rId49" Type="http://schemas.openxmlformats.org/officeDocument/2006/relationships/hyperlink" Target="consultantplus://offline/ref=94037C8F361D5F2FB5B95D640F6521932927BA71770EFEE422EFCB1DEF59863730BE11AF446E5C8D569A5CF797T0J8I" TargetMode = "External"/>
	<Relationship Id="rId50" Type="http://schemas.openxmlformats.org/officeDocument/2006/relationships/hyperlink" Target="consultantplus://offline/ref=94037C8F361D5F2FB5B95D640F6521932925B9717108FEE422EFCB1DEF59863730BE11AF446E5C8D569A5CF797T0J8I" TargetMode = "External"/>
	<Relationship Id="rId51" Type="http://schemas.openxmlformats.org/officeDocument/2006/relationships/hyperlink" Target="consultantplus://offline/ref=94037C8F361D5F2FB5B95D640F6521932923BB717D0BFEE422EFCB1DEF59863730BE11AF446E5C8D569A5CF797T0J8I" TargetMode = "External"/>
	<Relationship Id="rId52" Type="http://schemas.openxmlformats.org/officeDocument/2006/relationships/hyperlink" Target="consultantplus://offline/ref=94037C8F361D5F2FB5B95D640F652193282FBF74740FFEE422EFCB1DEF59863730BE11AF446E5C8D569A5CF797T0J8I" TargetMode = "External"/>
	<Relationship Id="rId53" Type="http://schemas.openxmlformats.org/officeDocument/2006/relationships/hyperlink" Target="consultantplus://offline/ref=94037C8F361D5F2FB5B95D640F6521932927BA71770EFEE422EFCB1DEF59863730BE11AF446E5C8D569A5CF797T0J8I" TargetMode = "External"/>
	<Relationship Id="rId54" Type="http://schemas.openxmlformats.org/officeDocument/2006/relationships/hyperlink" Target="consultantplus://offline/ref=94037C8F361D5F2FB5B95D640F6521932925B9717108FEE422EFCB1DEF59863730BE11AF446E5C8D569A5CF797T0J8I" TargetMode = "External"/>
	<Relationship Id="rId55" Type="http://schemas.openxmlformats.org/officeDocument/2006/relationships/hyperlink" Target="consultantplus://offline/ref=94037C8F361D5F2FB5B95D640F6521932923BB717D0BFEE422EFCB1DEF59863730BE11AF446E5C8D569A5CF797T0J8I" TargetMode = "External"/>
	<Relationship Id="rId56" Type="http://schemas.openxmlformats.org/officeDocument/2006/relationships/hyperlink" Target="consultantplus://offline/ref=94037C8F361D5F2FB5B95D640F652193282FBF74740FFEE422EFCB1DEF59863730BE11AF446E5C8D569A5CF797T0J8I" TargetMode = "External"/>
	<Relationship Id="rId57" Type="http://schemas.openxmlformats.org/officeDocument/2006/relationships/hyperlink" Target="consultantplus://offline/ref=94037C8F361D5F2FB5B95D640F6521932927BA71770EFEE422EFCB1DEF59863730BE11AF446E5C8D569A5CF797T0J8I" TargetMode = "External"/>
	<Relationship Id="rId58" Type="http://schemas.openxmlformats.org/officeDocument/2006/relationships/hyperlink" Target="consultantplus://offline/ref=94037C8F361D5F2FB5B95D640F6521932925B9717108FEE422EFCB1DEF59863730BE11AF446E5C8D569A5CF797T0J8I" TargetMode = "External"/>
	<Relationship Id="rId59" Type="http://schemas.openxmlformats.org/officeDocument/2006/relationships/hyperlink" Target="consultantplus://offline/ref=94037C8F361D5F2FB5B95D640F6521932923BB717D0BFEE422EFCB1DEF59863730BE11AF446E5C8D569A5CF797T0J8I" TargetMode = "External"/>
	<Relationship Id="rId60" Type="http://schemas.openxmlformats.org/officeDocument/2006/relationships/hyperlink" Target="consultantplus://offline/ref=94037C8F361D5F2FB5B95D640F6521932922B973760BFEE422EFCB1DEF59863730BE11AF446E5C8D569A5CF797T0J8I" TargetMode = "External"/>
	<Relationship Id="rId61" Type="http://schemas.openxmlformats.org/officeDocument/2006/relationships/hyperlink" Target="consultantplus://offline/ref=94037C8F361D5F2FB5B95D640F6521932926BD76750DFEE422EFCB1DEF59863722BE49A3466942855C8F0AA6D15E7A4BF35DEBC74F584828T2J1I" TargetMode = "External"/>
	<Relationship Id="rId62" Type="http://schemas.openxmlformats.org/officeDocument/2006/relationships/hyperlink" Target="consultantplus://offline/ref=94037C8F361D5F2FB5B95D640F652193282FBF74740FFEE422EFCB1DEF59863730BE11AF446E5C8D569A5CF797T0J8I" TargetMode = "External"/>
	<Relationship Id="rId63" Type="http://schemas.openxmlformats.org/officeDocument/2006/relationships/hyperlink" Target="consultantplus://offline/ref=94037C8F361D5F2FB5B95D640F6521932927BA71770EFEE422EFCB1DEF59863730BE11AF446E5C8D569A5CF797T0J8I" TargetMode = "External"/>
	<Relationship Id="rId64" Type="http://schemas.openxmlformats.org/officeDocument/2006/relationships/hyperlink" Target="consultantplus://offline/ref=94037C8F361D5F2FB5B95D640F6521932925B9717108FEE422EFCB1DEF59863730BE11AF446E5C8D569A5CF797T0J8I" TargetMode = "External"/>
	<Relationship Id="rId65" Type="http://schemas.openxmlformats.org/officeDocument/2006/relationships/hyperlink" Target="consultantplus://offline/ref=94037C8F361D5F2FB5B95D640F6521932923BB717D0BFEE422EFCB1DEF59863730BE11AF446E5C8D569A5CF797T0J8I" TargetMode = "External"/>
	<Relationship Id="rId66" Type="http://schemas.openxmlformats.org/officeDocument/2006/relationships/hyperlink" Target="consultantplus://offline/ref=94037C8F361D5F2FB5B95D640F6521932E22BE73760FFEE422EFCB1DEF59863722BE49A34669428D548F0AA6D15E7A4BF35DEBC74F584828T2J1I" TargetMode = "External"/>
	<Relationship Id="rId67" Type="http://schemas.openxmlformats.org/officeDocument/2006/relationships/hyperlink" Target="consultantplus://offline/ref=94037C8F361D5F2FB5B95D640F652193282FBF74740FFEE422EFCB1DEF59863730BE11AF446E5C8D569A5CF797T0J8I" TargetMode = "External"/>
	<Relationship Id="rId68" Type="http://schemas.openxmlformats.org/officeDocument/2006/relationships/hyperlink" Target="consultantplus://offline/ref=94037C8F361D5F2FB5B95D640F6521932927BA71770EFEE422EFCB1DEF59863730BE11AF446E5C8D569A5CF797T0J8I" TargetMode = "External"/>
	<Relationship Id="rId69" Type="http://schemas.openxmlformats.org/officeDocument/2006/relationships/hyperlink" Target="consultantplus://offline/ref=94037C8F361D5F2FB5B95D640F6521932925B9717108FEE422EFCB1DEF59863730BE11AF446E5C8D569A5CF797T0J8I" TargetMode = "External"/>
	<Relationship Id="rId70" Type="http://schemas.openxmlformats.org/officeDocument/2006/relationships/hyperlink" Target="consultantplus://offline/ref=94037C8F361D5F2FB5B95D640F6521932923BB717D0BFEE422EFCB1DEF59863730BE11AF446E5C8D569A5CF797T0J8I" TargetMode = "External"/>
	<Relationship Id="rId71" Type="http://schemas.openxmlformats.org/officeDocument/2006/relationships/hyperlink" Target="consultantplus://offline/ref=94037C8F361D5F2FB5B95D640F652193282FBF74740FFEE422EFCB1DEF59863730BE11AF446E5C8D569A5CF797T0J8I" TargetMode = "External"/>
	<Relationship Id="rId72" Type="http://schemas.openxmlformats.org/officeDocument/2006/relationships/hyperlink" Target="consultantplus://offline/ref=94037C8F361D5F2FB5B95D640F6521932927BA71770EFEE422EFCB1DEF59863730BE11AF446E5C8D569A5CF797T0J8I" TargetMode = "External"/>
	<Relationship Id="rId73" Type="http://schemas.openxmlformats.org/officeDocument/2006/relationships/hyperlink" Target="consultantplus://offline/ref=94037C8F361D5F2FB5B95D640F6521932925B9717108FEE422EFCB1DEF59863730BE11AF446E5C8D569A5CF797T0J8I" TargetMode = "External"/>
	<Relationship Id="rId74" Type="http://schemas.openxmlformats.org/officeDocument/2006/relationships/hyperlink" Target="consultantplus://offline/ref=94037C8F361D5F2FB5B95D640F6521932923BB717D0BFEE422EFCB1DEF59863730BE11AF446E5C8D569A5CF797T0J8I" TargetMode = "External"/>
	<Relationship Id="rId75" Type="http://schemas.openxmlformats.org/officeDocument/2006/relationships/hyperlink" Target="consultantplus://offline/ref=94037C8F361D5F2FB5B95D640F652193282FBF74740FFEE422EFCB1DEF59863730BE11AF446E5C8D569A5CF797T0J8I" TargetMode = "External"/>
	<Relationship Id="rId76" Type="http://schemas.openxmlformats.org/officeDocument/2006/relationships/hyperlink" Target="consultantplus://offline/ref=94037C8F361D5F2FB5B95D640F6521932B2FBD707108FEE422EFCB1DEF59863722BE49A34669408F538F0AA6D15E7A4BF35DEBC74F584828T2J1I" TargetMode = "External"/>
	<Relationship Id="rId77" Type="http://schemas.openxmlformats.org/officeDocument/2006/relationships/hyperlink" Target="consultantplus://offline/ref=94037C8F361D5F2FB5B95D640F6521932B21B8717C0AFEE422EFCB1DEF59863722BE49A34669428C5D8F0AA6D15E7A4BF35DEBC74F584828T2J1I" TargetMode = "External"/>
	<Relationship Id="rId78" Type="http://schemas.openxmlformats.org/officeDocument/2006/relationships/hyperlink" Target="consultantplus://offline/ref=94037C8F361D5F2FB5B95D640F6521932E24B871750CFEE422EFCB1DEF59863730BE11AF446E5C8D569A5CF797T0J8I" TargetMode = "External"/>
	<Relationship Id="rId79" Type="http://schemas.openxmlformats.org/officeDocument/2006/relationships/hyperlink" Target="consultantplus://offline/ref=94037C8F361D5F2FB5B95D640F6521932926BA72750DFEE422EFCB1DEF59863722BE49A34669428D548F0AA6D15E7A4BF35DEBC74F584828T2J1I" TargetMode = "External"/>
	<Relationship Id="rId80" Type="http://schemas.openxmlformats.org/officeDocument/2006/relationships/hyperlink" Target="consultantplus://offline/ref=94037C8F361D5F2FB5B95D640F6521932E24B871750CFEE422EFCB1DEF59863722BE49A3466B468F578F0AA6D15E7A4BF35DEBC74F584828T2J1I" TargetMode = "External"/>
	<Relationship Id="rId81" Type="http://schemas.openxmlformats.org/officeDocument/2006/relationships/hyperlink" Target="consultantplus://offline/ref=94037C8F361D5F2FB5B95D640F6521932E24B871750CFEE422EFCB1DEF59863730BE11AF446E5C8D569A5CF797T0J8I" TargetMode = "External"/>
	<Relationship Id="rId82" Type="http://schemas.openxmlformats.org/officeDocument/2006/relationships/hyperlink" Target="consultantplus://offline/ref=94037C8F361D5F2FB5B95D640F6521932B23B271760AFEE422EFCB1DEF59863722BE49A34669428D548F0AA6D15E7A4BF35DEBC74F584828T2J1I" TargetMode = "External"/>
	<Relationship Id="rId83" Type="http://schemas.openxmlformats.org/officeDocument/2006/relationships/hyperlink" Target="consultantplus://offline/ref=94037C8F361D5F2FB5B95D640F6521932B23B27A7509FEE422EFCB1DEF59863722BE49A34669428D578F0AA6D15E7A4BF35DEBC74F584828T2J1I" TargetMode = "External"/>
	<Relationship Id="rId84" Type="http://schemas.openxmlformats.org/officeDocument/2006/relationships/hyperlink" Target="consultantplus://offline/ref=94037C8F361D5F2FB5B95D640F6521932B22BB747101FEE422EFCB1DEF59863722BE49A34669428C5C8F0AA6D15E7A4BF35DEBC74F584828T2J1I" TargetMode = "External"/>
	<Relationship Id="rId85" Type="http://schemas.openxmlformats.org/officeDocument/2006/relationships/hyperlink" Target="consultantplus://offline/ref=94037C8F361D5F2FB5B95D640F6521932E24B97A740EFEE422EFCB1DEF59863730BE11AF446E5C8D569A5CF797T0J8I" TargetMode = "External"/>
	<Relationship Id="rId86" Type="http://schemas.openxmlformats.org/officeDocument/2006/relationships/hyperlink" Target="consultantplus://offline/ref=94037C8F361D5F2FB5B95D640F6521932E27B8737C0BFEE422EFCB1DEF59863730BE11AF446E5C8D569A5CF797T0J8I" TargetMode = "External"/>
	<Relationship Id="rId87" Type="http://schemas.openxmlformats.org/officeDocument/2006/relationships/hyperlink" Target="consultantplus://offline/ref=94037C8F361D5F2FB5B95D640F6521932B22BB76710AFEE422EFCB1DEF59863730BE11AF446E5C8D569A5CF797T0J8I" TargetMode = "External"/>
	<Relationship Id="rId88" Type="http://schemas.openxmlformats.org/officeDocument/2006/relationships/hyperlink" Target="consultantplus://offline/ref=94037C8F361D5F2FB5B95D640F6521932B21B273710FFEE422EFCB1DEF59863730BE11AF446E5C8D569A5CF797T0J8I" TargetMode = "External"/>
	<Relationship Id="rId89" Type="http://schemas.openxmlformats.org/officeDocument/2006/relationships/hyperlink" Target="consultantplus://offline/ref=94037C8F361D5F2FB5B95D640F6521932E24B871750CFEE422EFCB1DEF59863730BE11AF446E5C8D569A5CF797T0J8I" TargetMode = "External"/>
	<Relationship Id="rId90" Type="http://schemas.openxmlformats.org/officeDocument/2006/relationships/hyperlink" Target="consultantplus://offline/ref=94037C8F361D5F2FB5B95D640F6521932E24B871750CFEE422EFCB1DEF59863730BE11AF446E5C8D569A5CF797T0J8I" TargetMode = "External"/>
	<Relationship Id="rId91" Type="http://schemas.openxmlformats.org/officeDocument/2006/relationships/hyperlink" Target="consultantplus://offline/ref=94037C8F361D5F2FB5B95D640F6521932B2FBD707108FEE422EFCB1DEF59863722BE49A34669408F538F0AA6D15E7A4BF35DEBC74F584828T2J1I" TargetMode = "External"/>
	<Relationship Id="rId92" Type="http://schemas.openxmlformats.org/officeDocument/2006/relationships/hyperlink" Target="consultantplus://offline/ref=94037C8F361D5F2FB5B95D640F6521932B21B8717C0AFEE422EFCB1DEF59863722BE49A34669428C5D8F0AA6D15E7A4BF35DEBC74F584828T2J1I" TargetMode = "External"/>
	<Relationship Id="rId93" Type="http://schemas.openxmlformats.org/officeDocument/2006/relationships/hyperlink" Target="consultantplus://offline/ref=94037C8F361D5F2FB5B95D640F652193282FB3707209FEE422EFCB1DEF59863722BE49A34669428C5C8F0AA6D15E7A4BF35DEBC74F584828T2J1I" TargetMode = "External"/>
	<Relationship Id="rId94" Type="http://schemas.openxmlformats.org/officeDocument/2006/relationships/hyperlink" Target="consultantplus://offline/ref=94037C8F361D5F2FB5B95D640F6521932922B870730FFEE422EFCB1DEF59863722BE49A34669428D558F0AA6D15E7A4BF35DEBC74F584828T2J1I" TargetMode = "External"/>
	<Relationship Id="rId95" Type="http://schemas.openxmlformats.org/officeDocument/2006/relationships/hyperlink" Target="consultantplus://offline/ref=94037C8F361D5F2FB5B95D640F6521932922BC737D0FFEE422EFCB1DEF59863730BE11AF446E5C8D569A5CF797T0J8I" TargetMode = "External"/>
	<Relationship Id="rId96" Type="http://schemas.openxmlformats.org/officeDocument/2006/relationships/hyperlink" Target="consultantplus://offline/ref=94037C8F361D5F2FB5B95D640F6521932921BA7B7609FEE422EFCB1DEF59863730BE11AF446E5C8D569A5CF797T0J8I" TargetMode = "External"/>
	<Relationship Id="rId97" Type="http://schemas.openxmlformats.org/officeDocument/2006/relationships/hyperlink" Target="consultantplus://offline/ref=94037C8F361D5F2FB5B95D640F652193292EBF77740AFEE422EFCB1DEF59863730BE11AF446E5C8D569A5CF797T0J8I" TargetMode = "External"/>
	<Relationship Id="rId98" Type="http://schemas.openxmlformats.org/officeDocument/2006/relationships/hyperlink" Target="consultantplus://offline/ref=94037C8F361D5F2FB5B95D640F652193292EBE737D01FEE422EFCB1DEF59863730BE11AF446E5C8D569A5CF797T0J8I" TargetMode = "External"/>
	<Relationship Id="rId99" Type="http://schemas.openxmlformats.org/officeDocument/2006/relationships/hyperlink" Target="consultantplus://offline/ref=94037C8F361D5F2FB5B95D640F6521932920BD76770EFEE422EFCB1DEF59863730BE11AF446E5C8D569A5CF797T0J8I" TargetMode = "External"/>
	<Relationship Id="rId100" Type="http://schemas.openxmlformats.org/officeDocument/2006/relationships/hyperlink" Target="consultantplus://offline/ref=94037C8F361D5F2FB5B95D640F6521932E26BC75760CFEE422EFCB1DEF59863730BE11AF446E5C8D569A5CF797T0J8I" TargetMode = "External"/>
	<Relationship Id="rId101" Type="http://schemas.openxmlformats.org/officeDocument/2006/relationships/hyperlink" Target="consultantplus://offline/ref=94037C8F361D5F2FB5B95D640F652193292FB9747C0DFEE422EFCB1DEF59863722BE49A34669428D578F0AA6D15E7A4BF35DEBC74F584828T2J1I" TargetMode = "External"/>
	<Relationship Id="rId102" Type="http://schemas.openxmlformats.org/officeDocument/2006/relationships/hyperlink" Target="consultantplus://offline/ref=94037C8F361D5F2FB5B95D640F6521932E26BC75760CFEE422EFCB1DEF59863722BE49A346694088558F0AA6D15E7A4BF35DEBC74F584828T2J1I" TargetMode = "External"/>
	<Relationship Id="rId103" Type="http://schemas.openxmlformats.org/officeDocument/2006/relationships/hyperlink" Target="consultantplus://offline/ref=94037C8F361D5F2FB5B95D640F652193292FB9747C0DFEE422EFCB1DEF59863722BE49A34669428D578F0AA6D15E7A4BF35DEBC74F584828T2J1I" TargetMode = "External"/>
	<Relationship Id="rId104" Type="http://schemas.openxmlformats.org/officeDocument/2006/relationships/hyperlink" Target="consultantplus://offline/ref=94037C8F361D5F2FB5B95D640F6521932E26BC75760CFEE422EFCB1DEF59863722BE49A34669428C578F0AA6D15E7A4BF35DEBC74F584828T2J1I" TargetMode = "External"/>
	<Relationship Id="rId105" Type="http://schemas.openxmlformats.org/officeDocument/2006/relationships/hyperlink" Target="consultantplus://offline/ref=94037C8F361D5F2FB5B95D640F6521932925BE73750AFEE422EFCB1DEF59863722BE49A34669428D568F0AA6D15E7A4BF35DEBC74F584828T2J1I" TargetMode = "External"/>
	<Relationship Id="rId106" Type="http://schemas.openxmlformats.org/officeDocument/2006/relationships/hyperlink" Target="consultantplus://offline/ref=94037C8F361D5F2FB5B95D640F6521932925BE73750AFEE422EFCB1DEF59863722BE49A34669428F568F0AA6D15E7A4BF35DEBC74F584828T2J1I" TargetMode = "External"/>
	<Relationship Id="rId107" Type="http://schemas.openxmlformats.org/officeDocument/2006/relationships/hyperlink" Target="consultantplus://offline/ref=94037C8F361D5F2FB5B95D640F6521932925BE73750AFEE422EFCB1DEF59863722BE49A346694288578F0AA6D15E7A4BF35DEBC74F584828T2J1I" TargetMode = "External"/>
	<Relationship Id="rId108" Type="http://schemas.openxmlformats.org/officeDocument/2006/relationships/hyperlink" Target="consultantplus://offline/ref=94037C8F361D5F2FB5B95D640F6521932925BE73750AFEE422EFCB1DEF59863722BE49A34669428A558F0AA6D15E7A4BF35DEBC74F584828T2J1I" TargetMode = "External"/>
	<Relationship Id="rId109" Type="http://schemas.openxmlformats.org/officeDocument/2006/relationships/hyperlink" Target="consultantplus://offline/ref=94037C8F361D5F2FB5B95D640F6521932925BE73750AFEE422EFCB1DEF59863722BE49A3466942855D8F0AA6D15E7A4BF35DEBC74F584828T2J1I" TargetMode = "External"/>
	<Relationship Id="rId110" Type="http://schemas.openxmlformats.org/officeDocument/2006/relationships/hyperlink" Target="consultantplus://offline/ref=94037C8F361D5F2FB5B95D640F6521932925BE73750AFEE422EFCB1DEF59863722BE49A34669428F568F0AA6D15E7A4BF35DEBC74F584828T2J1I" TargetMode = "External"/>
	<Relationship Id="rId111" Type="http://schemas.openxmlformats.org/officeDocument/2006/relationships/hyperlink" Target="consultantplus://offline/ref=94037C8F361D5F2FB5B95D640F6521932925BE73750AFEE422EFCB1DEF59863722BE49A346694288578F0AA6D15E7A4BF35DEBC74F584828T2J1I" TargetMode = "External"/>
	<Relationship Id="rId112" Type="http://schemas.openxmlformats.org/officeDocument/2006/relationships/hyperlink" Target="consultantplus://offline/ref=94037C8F361D5F2FB5B95D640F6521932925BE73750AFEE422EFCB1DEF59863722BE49A34669428F568F0AA6D15E7A4BF35DEBC74F584828T2J1I" TargetMode = "External"/>
	<Relationship Id="rId113" Type="http://schemas.openxmlformats.org/officeDocument/2006/relationships/hyperlink" Target="consultantplus://offline/ref=94037C8F361D5F2FB5B95D640F6521932925BE73750AFEE422EFCB1DEF59863722BE49A346694288578F0AA6D15E7A4BF35DEBC74F584828T2J1I" TargetMode = "External"/>
	<Relationship Id="rId114" Type="http://schemas.openxmlformats.org/officeDocument/2006/relationships/hyperlink" Target="consultantplus://offline/ref=94037C8F361D5F2FB5B95D640F6521932925BE73750AFEE422EFCB1DEF59863722BE49A34669428F568F0AA6D15E7A4BF35DEBC74F584828T2J1I" TargetMode = "External"/>
	<Relationship Id="rId115" Type="http://schemas.openxmlformats.org/officeDocument/2006/relationships/hyperlink" Target="consultantplus://offline/ref=94037C8F361D5F2FB5B95D640F6521932925BE73750AFEE422EFCB1DEF59863722BE49A346694288568F0AA6D15E7A4BF35DEBC74F584828T2J1I" TargetMode = "External"/>
	<Relationship Id="rId116" Type="http://schemas.openxmlformats.org/officeDocument/2006/relationships/hyperlink" Target="consultantplus://offline/ref=94037C8F361D5F2FB5B95D640F6521932925BE73750AFEE422EFCB1DEF59863722BE49A346694288508F0AA6D15E7A4BF35DEBC74F584828T2J1I" TargetMode = "External"/>
	<Relationship Id="rId117" Type="http://schemas.openxmlformats.org/officeDocument/2006/relationships/hyperlink" Target="consultantplus://offline/ref=94037C8F361D5F2FB5B95D640F6521932925BE73750AFEE422EFCB1DEF59863722BE49A346694289568F0AA6D15E7A4BF35DEBC74F584828T2J1I" TargetMode = "External"/>
	<Relationship Id="rId118" Type="http://schemas.openxmlformats.org/officeDocument/2006/relationships/hyperlink" Target="consultantplus://offline/ref=94037C8F361D5F2FB5B95D640F6521932925BE73750AFEE422EFCB1DEF59863722BE49A346694288508F0AA6D15E7A4BF35DEBC74F584828T2J1I" TargetMode = "External"/>
	<Relationship Id="rId119" Type="http://schemas.openxmlformats.org/officeDocument/2006/relationships/hyperlink" Target="consultantplus://offline/ref=94037C8F361D5F2FB5B95D640F6521932925BE73750AFEE422EFCB1DEF59863722BE49A346694289568F0AA6D15E7A4BF35DEBC74F584828T2J1I" TargetMode = "External"/>
	<Relationship Id="rId120" Type="http://schemas.openxmlformats.org/officeDocument/2006/relationships/hyperlink" Target="consultantplus://offline/ref=94037C8F361D5F2FB5B95D640F6521932B2EB37B7C01FEE422EFCB1DEF59863722BE49A34669428E528F0AA6D15E7A4BF35DEBC74F584828T2J1I" TargetMode = "External"/>
	<Relationship Id="rId121" Type="http://schemas.openxmlformats.org/officeDocument/2006/relationships/hyperlink" Target="consultantplus://offline/ref=94037C8F361D5F2FB5B95D640F6521932925BE73750AFEE422EFCB1DEF59863722BE49A34669428B578F0AA6D15E7A4BF35DEBC74F584828T2J1I" TargetMode = "External"/>
	<Relationship Id="rId122" Type="http://schemas.openxmlformats.org/officeDocument/2006/relationships/hyperlink" Target="consultantplus://offline/ref=94037C8F361D5F2FB5B95D640F6521932925BE73750AFEE422EFCB1DEF59863722BE49A34669428A518F0AA6D15E7A4BF35DEBC74F584828T2J1I" TargetMode = "External"/>
	<Relationship Id="rId123" Type="http://schemas.openxmlformats.org/officeDocument/2006/relationships/hyperlink" Target="consultantplus://offline/ref=94037C8F361D5F2FB5B95D640F6521932925BE73750AFEE422EFCB1DEF59863722BE49A34669438C518F0AA6D15E7A4BF35DEBC74F584828T2J1I" TargetMode = "External"/>
	<Relationship Id="rId124" Type="http://schemas.openxmlformats.org/officeDocument/2006/relationships/hyperlink" Target="consultantplus://offline/ref=94037C8F361D5F2FB5B95D640F6521932925BE73750AFEE422EFCB1DEF59863722BE49A34669438D538F0AA6D15E7A4BF35DEBC74F584828T2J1I" TargetMode = "External"/>
	<Relationship Id="rId125" Type="http://schemas.openxmlformats.org/officeDocument/2006/relationships/hyperlink" Target="consultantplus://offline/ref=94037C8F361D5F2FB5B95D640F6521932925BE73750AFEE422EFCB1DEF59863722BE49A34669438D5C8F0AA6D15E7A4BF35DEBC74F584828T2J1I" TargetMode = "External"/>
	<Relationship Id="rId126" Type="http://schemas.openxmlformats.org/officeDocument/2006/relationships/hyperlink" Target="consultantplus://offline/ref=94037C8F361D5F2FB5B95D640F6521932925BE73750AFEE422EFCB1DEF59863722BE49A34669438C518F0AA6D15E7A4BF35DEBC74F584828T2J1I" TargetMode = "External"/>
	<Relationship Id="rId127" Type="http://schemas.openxmlformats.org/officeDocument/2006/relationships/hyperlink" Target="consultantplus://offline/ref=94037C8F361D5F2FB5B95D640F6521932E26BC75760CFEE422EFCB1DEF59863722BE49A346694088538F0AA6D15E7A4BF35DEBC74F584828T2J1I" TargetMode = "External"/>
	<Relationship Id="rId128" Type="http://schemas.openxmlformats.org/officeDocument/2006/relationships/hyperlink" Target="consultantplus://offline/ref=94037C8F361D5F2FB5B95D640F6521932925BE73750AFEE422EFCB1DEF59863722BE49A34669438C538F0AA6D15E7A4BF35DEBC74F584828T2J1I" TargetMode = "External"/>
	<Relationship Id="rId129" Type="http://schemas.openxmlformats.org/officeDocument/2006/relationships/hyperlink" Target="consultantplus://offline/ref=94037C8F361D5F2FB5B95D640F6521932E26BC75760CFEE422EFCB1DEF59863722BE49A3466940885D8F0AA6D15E7A4BF35DEBC74F584828T2J1I" TargetMode = "External"/>
	<Relationship Id="rId130" Type="http://schemas.openxmlformats.org/officeDocument/2006/relationships/hyperlink" Target="consultantplus://offline/ref=94037C8F361D5F2FB5B95D640F6521932925BE73750AFEE422EFCB1DEF59863722BE49A34669438C538F0AA6D15E7A4BF35DEBC74F584828T2J1I" TargetMode = "External"/>
	<Relationship Id="rId131" Type="http://schemas.openxmlformats.org/officeDocument/2006/relationships/hyperlink" Target="consultantplus://offline/ref=94037C8F361D5F2FB5B95D640F6521932E23B872700EFEE422EFCB1DEF59863722BE49A34669438C568F0AA6D15E7A4BF35DEBC74F584828T2J1I" TargetMode = "External"/>
	<Relationship Id="rId132" Type="http://schemas.openxmlformats.org/officeDocument/2006/relationships/hyperlink" Target="consultantplus://offline/ref=94037C8F361D5F2FB5B95D640F6521932E23B872700EFEE422EFCB1DEF59863722BE49A34669438D578F0AA6D15E7A4BF35DEBC74F584828T2J1I" TargetMode = "External"/>
	<Relationship Id="rId133" Type="http://schemas.openxmlformats.org/officeDocument/2006/relationships/hyperlink" Target="consultantplus://offline/ref=94037C8F361D5F2FB5B95D640F6521932B2EB37B7C01FEE422EFCB1DEF59863722BE49A34669428B568F0AA6D15E7A4BF35DEBC74F584828T2J1I" TargetMode = "External"/>
	<Relationship Id="rId134" Type="http://schemas.openxmlformats.org/officeDocument/2006/relationships/hyperlink" Target="consultantplus://offline/ref=94037C8F361D5F2FB5B95D640F6521932B2EB37B7C01FEE422EFCB1DEF59863722BE49A346694289528F0AA6D15E7A4BF35DEBC74F584828T2J1I" TargetMode = "External"/>
	<Relationship Id="rId135" Type="http://schemas.openxmlformats.org/officeDocument/2006/relationships/hyperlink" Target="consultantplus://offline/ref=94037C8F361D5F2FB5B95D640F6521932B2EB37B7C01FEE422EFCB1DEF59863722BE49A34669428A528F0AA6D15E7A4BF35DEBC74F584828T2J1I" TargetMode = "External"/>
	<Relationship Id="rId136" Type="http://schemas.openxmlformats.org/officeDocument/2006/relationships/hyperlink" Target="consultantplus://offline/ref=94037C8F361D5F2FB5B95D640F6521932B2EB37B7C01FEE422EFCB1DEF59863722BE49A346694289518F0AA6D15E7A4BF35DEBC74F584828T2J1I" TargetMode = "External"/>
	<Relationship Id="rId137" Type="http://schemas.openxmlformats.org/officeDocument/2006/relationships/hyperlink" Target="consultantplus://offline/ref=94037C8F361D5F2FB5B95D640F6521932E24B27B730DFEE422EFCB1DEF59863722BE49A34669408C568F0AA6D15E7A4BF35DEBC74F584828T2J1I" TargetMode = "External"/>
	<Relationship Id="rId138" Type="http://schemas.openxmlformats.org/officeDocument/2006/relationships/hyperlink" Target="consultantplus://offline/ref=94037C8F361D5F2FB5B95D640F6521932B25B271710CFEE422EFCB1DEF59863730BE11AF446E5C8D569A5CF797T0J8I" TargetMode = "External"/>
	<Relationship Id="rId139" Type="http://schemas.openxmlformats.org/officeDocument/2006/relationships/hyperlink" Target="consultantplus://offline/ref=94037C8F361D5F2FB5B95D640F6521932921BB76710DFEE422EFCB1DEF59863722BE49A34D3D13C801895CF08B0A7557F643E8TCJ6I" TargetMode = "External"/>
	<Relationship Id="rId140" Type="http://schemas.openxmlformats.org/officeDocument/2006/relationships/hyperlink" Target="consultantplus://offline/ref=94037C8F361D5F2FB5B95D640F6521932927B3747509FEE422EFCB1DEF59863730BE11AF446E5C8D569A5CF797T0J8I" TargetMode = "External"/>
	<Relationship Id="rId141" Type="http://schemas.openxmlformats.org/officeDocument/2006/relationships/hyperlink" Target="consultantplus://offline/ref=94037C8F361D5F2FB5B95D640F6521932E24B871750CFEE422EFCB1DEF59863722BE49A34460408700D51AA298097057F541F4C75158T4JBI" TargetMode = "External"/>
	<Relationship Id="rId142" Type="http://schemas.openxmlformats.org/officeDocument/2006/relationships/hyperlink" Target="consultantplus://offline/ref=94037C8F361D5F2FB5B95D640F6521932921B87A7D0DFEE422EFCB1DEF59863722BE49A34669428C5D8F0AA6D15E7A4BF35DEBC74F584828T2J1I" TargetMode = "External"/>
	<Relationship Id="rId143" Type="http://schemas.openxmlformats.org/officeDocument/2006/relationships/hyperlink" Target="consultantplus://offline/ref=94037C8F361D5F2FB5B95D640F6521932922B372770EFEE422EFCB1DEF59863730BE11AF446E5C8D569A5CF797T0J8I" TargetMode = "External"/>
	<Relationship Id="rId144" Type="http://schemas.openxmlformats.org/officeDocument/2006/relationships/hyperlink" Target="consultantplus://offline/ref=94037C8F361D5F2FB5B95D640F6521932E27BE7A720AFEE422EFCB1DEF59863730BE11AF446E5C8D569A5CF797T0J8I" TargetMode = "External"/>
	<Relationship Id="rId145" Type="http://schemas.openxmlformats.org/officeDocument/2006/relationships/hyperlink" Target="consultantplus://offline/ref=94037C8F361D5F2FB5B95D640F6521932922B274710AFEE422EFCB1DEF59863730BE11AF446E5C8D569A5CF797T0J8I" TargetMode = "External"/>
	<Relationship Id="rId146" Type="http://schemas.openxmlformats.org/officeDocument/2006/relationships/hyperlink" Target="consultantplus://offline/ref=94037C8F361D5F2FB5B95D640F6521932921BB777200FEE422EFCB1DEF59863730BE11AF446E5C8D569A5CF797T0J8I" TargetMode = "External"/>
	<Relationship Id="rId147" Type="http://schemas.openxmlformats.org/officeDocument/2006/relationships/hyperlink" Target="consultantplus://offline/ref=94037C8F361D5F2FB5B95D640F6521932922B9707D0EFEE422EFCB1DEF59863730BE11AF446E5C8D569A5CF797T0J8I" TargetMode = "External"/>
	<Relationship Id="rId148" Type="http://schemas.openxmlformats.org/officeDocument/2006/relationships/hyperlink" Target="consultantplus://offline/ref=94037C8F361D5F2FB5B95D640F6521932922B9707D0EFEE422EFCB1DEF59863722BE49A34669428F528F0AA6D15E7A4BF35DEBC74F584828T2J1I" TargetMode = "External"/>
	<Relationship Id="rId149" Type="http://schemas.openxmlformats.org/officeDocument/2006/relationships/hyperlink" Target="consultantplus://offline/ref=94037C8F361D5F2FB5B95D640F6521932B25B271710CFEE422EFCB1DEF59863730BE11AF446E5C8D569A5CF797T0J8I" TargetMode = "External"/>
	<Relationship Id="rId150" Type="http://schemas.openxmlformats.org/officeDocument/2006/relationships/hyperlink" Target="consultantplus://offline/ref=94037C8F361D5F2FB5B95D640F6521932E24BB777D0EFEE422EFCB1DEF59863730BE11AF446E5C8D569A5CF797T0J8I" TargetMode = "External"/>
	<Relationship Id="rId151" Type="http://schemas.openxmlformats.org/officeDocument/2006/relationships/hyperlink" Target="consultantplus://offline/ref=94037C8F361D5F2FB5B95D640F6521932E24B871750CFEE422EFCB1DEF59863722BE49A0446B478700D51AA298097057F541F4C75158T4JBI" TargetMode = "External"/>
	<Relationship Id="rId152" Type="http://schemas.openxmlformats.org/officeDocument/2006/relationships/hyperlink" Target="consultantplus://offline/ref=94037C8F361D5F2FB5B95D640F6521932E24BA707309FEE422EFCB1DEF59863722BE49A34669428D578F0AA6D15E7A4BF35DEBC74F584828T2J1I" TargetMode = "External"/>
	<Relationship Id="rId153" Type="http://schemas.openxmlformats.org/officeDocument/2006/relationships/hyperlink" Target="consultantplus://offline/ref=94037C8F361D5F2FB5B95D640F652193292EB3737608FEE422EFCB1DEF59863730BE11AF446E5C8D569A5CF797T0J8I" TargetMode = "External"/>
	<Relationship Id="rId154" Type="http://schemas.openxmlformats.org/officeDocument/2006/relationships/hyperlink" Target="consultantplus://offline/ref=94037C8F361D5F2FB5B95D640F6521932E24B871750CFEE422EFCB1DEF59863722BE49A34460408700D51AA298097057F541F4C75158T4JBI" TargetMode = "External"/>
	<Relationship Id="rId155" Type="http://schemas.openxmlformats.org/officeDocument/2006/relationships/hyperlink" Target="consultantplus://offline/ref=94037C8F361D5F2FB5B95D640F652193292EB373770FFEE422EFCB1DEF59863730BE11AF446E5C8D569A5CF797T0J8I" TargetMode = "External"/>
	<Relationship Id="rId156" Type="http://schemas.openxmlformats.org/officeDocument/2006/relationships/hyperlink" Target="consultantplus://offline/ref=94037C8F361D5F2FB5B95D640F6521932D2FB27B7D03A3EE2AB6C71FE856D92025F745A2466942855FD00FB3C006754EEA42E8DB535A4AT2J9I" TargetMode = "External"/>
	<Relationship Id="rId157" Type="http://schemas.openxmlformats.org/officeDocument/2006/relationships/hyperlink" Target="consultantplus://offline/ref=94037C8F361D5F2FB5B95D640F6521932223BA747103A3EE2AB6C71FE856D93225AF49A04177438E4A865EF5T9J6I" TargetMode = "External"/>
	<Relationship Id="rId158" Type="http://schemas.openxmlformats.org/officeDocument/2006/relationships/hyperlink" Target="consultantplus://offline/ref=94037C8F361D5F2FB5B95D640F6521932D2EBE757503A3EE2AB6C71FE856D93225AF49A04177438E4A865EF5T9J6I" TargetMode = "External"/>
	<Relationship Id="rId159" Type="http://schemas.openxmlformats.org/officeDocument/2006/relationships/hyperlink" Target="consultantplus://offline/ref=94037C8F361D5F2FB5B95D640F652193292EB373770FFEE422EFCB1DEF59863730BE11AF446E5C8D569A5CF797T0J8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2023 год"
(утв. решением Российской трехсторонней комиссии по регулированию социально-трудовых отношений от 23.12.2022, протокол N 11)</dc:title>
  <dcterms:created xsi:type="dcterms:W3CDTF">2023-12-27T08:09:16Z</dcterms:created>
</cp:coreProperties>
</file>