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64" w:rsidRPr="00863F64" w:rsidRDefault="00863F64" w:rsidP="00863F6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F64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   </w:t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863F64" w:rsidRPr="00863F64" w:rsidRDefault="00863F64" w:rsidP="00863F64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президиума</w:t>
      </w:r>
    </w:p>
    <w:p w:rsidR="00863F64" w:rsidRPr="00863F64" w:rsidRDefault="00863F64" w:rsidP="00863F64">
      <w:pPr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ТООП образования г. Рубцовска и Рубцовского района</w:t>
      </w:r>
    </w:p>
    <w:p w:rsidR="00863F64" w:rsidRPr="00863F64" w:rsidRDefault="00863F64" w:rsidP="00863F64">
      <w:pPr>
        <w:widowControl w:val="0"/>
        <w:suppressAutoHyphens w:val="0"/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 </w:t>
      </w:r>
      <w:r w:rsidR="006947E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>6.06.202</w:t>
      </w:r>
      <w:r w:rsidR="006947E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>г. (Протокол №2</w:t>
      </w:r>
      <w:r w:rsidR="006947EC">
        <w:rPr>
          <w:rFonts w:ascii="Times New Roman" w:eastAsia="Times New Roman" w:hAnsi="Times New Roman" w:cs="Times New Roman"/>
          <w:sz w:val="20"/>
          <w:szCs w:val="20"/>
          <w:lang w:eastAsia="ru-RU"/>
        </w:rPr>
        <w:t>5-12</w:t>
      </w:r>
      <w:r w:rsidRPr="00863F6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1C17" w:rsidRDefault="00151C17" w:rsidP="00863F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3285" w:rsidRDefault="001A3285" w:rsidP="0015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285" w:rsidRDefault="001A3285" w:rsidP="0015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C17" w:rsidRPr="00151C17" w:rsidRDefault="00151C17" w:rsidP="0015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17">
        <w:rPr>
          <w:rFonts w:ascii="Times New Roman" w:hAnsi="Times New Roman"/>
          <w:b/>
          <w:sz w:val="28"/>
          <w:szCs w:val="28"/>
        </w:rPr>
        <w:t>ФОРМА МОНИТОРИНГА</w:t>
      </w:r>
    </w:p>
    <w:p w:rsidR="00863F64" w:rsidRDefault="00151C17" w:rsidP="00151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17">
        <w:rPr>
          <w:rFonts w:ascii="Times New Roman" w:hAnsi="Times New Roman"/>
          <w:b/>
          <w:sz w:val="28"/>
          <w:szCs w:val="28"/>
        </w:rPr>
        <w:t>прохождения работниками образова</w:t>
      </w:r>
      <w:r w:rsidR="00863F64">
        <w:rPr>
          <w:rFonts w:ascii="Times New Roman" w:hAnsi="Times New Roman"/>
          <w:b/>
          <w:sz w:val="28"/>
          <w:szCs w:val="28"/>
        </w:rPr>
        <w:t xml:space="preserve">тельных организаций </w:t>
      </w:r>
    </w:p>
    <w:p w:rsidR="00151C17" w:rsidRDefault="00151C17" w:rsidP="005E0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17">
        <w:rPr>
          <w:rFonts w:ascii="Times New Roman" w:hAnsi="Times New Roman"/>
          <w:b/>
          <w:sz w:val="28"/>
          <w:szCs w:val="28"/>
        </w:rPr>
        <w:t>периодических медицинских осмотров, психиатрического освидетельствования и санитарно-гигиенического минимума</w:t>
      </w:r>
    </w:p>
    <w:tbl>
      <w:tblPr>
        <w:tblpPr w:leftFromText="181" w:rightFromText="181" w:vertAnchor="page" w:horzAnchor="margin" w:tblpY="4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1"/>
        <w:gridCol w:w="1623"/>
      </w:tblGrid>
      <w:tr w:rsidR="00863F64" w:rsidRPr="001A3285" w:rsidTr="00863F64">
        <w:trPr>
          <w:trHeight w:val="316"/>
        </w:trPr>
        <w:tc>
          <w:tcPr>
            <w:tcW w:w="9747" w:type="dxa"/>
            <w:gridSpan w:val="2"/>
          </w:tcPr>
          <w:p w:rsidR="001A3285" w:rsidRDefault="001A3285" w:rsidP="00863F64">
            <w:pPr>
              <w:spacing w:after="0" w:line="240" w:lineRule="auto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3F64" w:rsidRPr="001A3285" w:rsidRDefault="00863F64" w:rsidP="00863F64">
            <w:pPr>
              <w:spacing w:after="0" w:line="240" w:lineRule="auto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организация: ______________</w:t>
            </w:r>
            <w:r w:rsidR="001A3285">
              <w:rPr>
                <w:rFonts w:ascii="Times New Roman" w:hAnsi="Times New Roman"/>
                <w:b/>
                <w:sz w:val="28"/>
                <w:szCs w:val="28"/>
              </w:rPr>
              <w:t>__________________________</w:t>
            </w:r>
          </w:p>
          <w:p w:rsidR="00863F64" w:rsidRPr="001A3285" w:rsidRDefault="00863F64" w:rsidP="00863F64">
            <w:pPr>
              <w:spacing w:after="0" w:line="240" w:lineRule="auto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</w:t>
            </w:r>
            <w:r w:rsidR="001A328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863F64" w:rsidRPr="001A3285" w:rsidRDefault="00863F64" w:rsidP="00863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rPr>
          <w:trHeight w:val="316"/>
        </w:trPr>
        <w:tc>
          <w:tcPr>
            <w:tcW w:w="7939" w:type="dxa"/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образовательной организации, которые на основании приказа Минздрава РФ от 28.01.2021 г. №29н </w:t>
            </w:r>
            <w:r w:rsidRPr="006947EC">
              <w:rPr>
                <w:rFonts w:ascii="Times New Roman" w:hAnsi="Times New Roman"/>
                <w:b/>
                <w:sz w:val="28"/>
                <w:szCs w:val="28"/>
              </w:rPr>
              <w:t>должны проходить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периодические медосмотры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  <w:proofErr w:type="gramEnd"/>
          </w:p>
        </w:tc>
        <w:tc>
          <w:tcPr>
            <w:tcW w:w="1808" w:type="dxa"/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</w:t>
            </w:r>
            <w:r w:rsidRPr="006947EC">
              <w:rPr>
                <w:rFonts w:ascii="Times New Roman" w:hAnsi="Times New Roman"/>
                <w:b/>
                <w:sz w:val="28"/>
                <w:szCs w:val="28"/>
              </w:rPr>
              <w:t>прошедших медосмотр за свой счет,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перед </w:t>
            </w:r>
            <w:proofErr w:type="gramStart"/>
            <w:r w:rsidRPr="001A3285">
              <w:rPr>
                <w:rFonts w:ascii="Times New Roman" w:hAnsi="Times New Roman"/>
                <w:sz w:val="28"/>
                <w:szCs w:val="28"/>
              </w:rPr>
              <w:t>которыми</w:t>
            </w:r>
            <w:proofErr w:type="gramEnd"/>
            <w:r w:rsidRPr="001A3285">
              <w:rPr>
                <w:rFonts w:ascii="Times New Roman" w:hAnsi="Times New Roman"/>
                <w:sz w:val="28"/>
                <w:szCs w:val="28"/>
              </w:rPr>
              <w:t xml:space="preserve"> имеется непогашенная задолженность за 2023 год, чел./рублей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6947EC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прошедших медосмотр за свой счет, перед </w:t>
            </w:r>
            <w:proofErr w:type="gramStart"/>
            <w:r w:rsidRPr="001A3285">
              <w:rPr>
                <w:rFonts w:ascii="Times New Roman" w:hAnsi="Times New Roman"/>
                <w:sz w:val="28"/>
                <w:szCs w:val="28"/>
              </w:rPr>
              <w:t>которыми</w:t>
            </w:r>
            <w:proofErr w:type="gramEnd"/>
            <w:r w:rsidRPr="001A3285">
              <w:rPr>
                <w:rFonts w:ascii="Times New Roman" w:hAnsi="Times New Roman"/>
                <w:sz w:val="28"/>
                <w:szCs w:val="28"/>
              </w:rPr>
              <w:t xml:space="preserve"> имеется непогашенная задолженность за 202</w:t>
            </w:r>
            <w:r w:rsidR="006947E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г</w:t>
            </w:r>
            <w:r w:rsidR="006947EC">
              <w:rPr>
                <w:rFonts w:ascii="Times New Roman" w:hAnsi="Times New Roman"/>
                <w:sz w:val="28"/>
                <w:szCs w:val="28"/>
              </w:rPr>
              <w:t>од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, чел./рублей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 образовательных организаций, которые на основании приказа Минздрава РФ от 30.09.2021г. №342н должны проходить обязательное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психиатрическое освидетельствование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>Количество работников, прошедших обязательное психиатрическое освидетельствование за свой счет, перед которыми имеется непогашенная задолженность за 2023 год, чел./рублей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прошедших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 xml:space="preserve">санитарно–гигиеническое обучение 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за свой счет, перед которыми имеется непогашенная задолженность за 2023 год, чел./рублей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6947EC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купивших личные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медицинские книжки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 за свой счет, перед которыми имеется непогашенная задолженность </w:t>
            </w:r>
            <w:r w:rsidR="006947EC">
              <w:rPr>
                <w:rFonts w:ascii="Times New Roman" w:hAnsi="Times New Roman"/>
                <w:sz w:val="28"/>
                <w:szCs w:val="28"/>
              </w:rPr>
              <w:t>на 01.06.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202</w:t>
            </w:r>
            <w:r w:rsidR="006947EC">
              <w:rPr>
                <w:rFonts w:ascii="Times New Roman" w:hAnsi="Times New Roman"/>
                <w:sz w:val="28"/>
                <w:szCs w:val="28"/>
              </w:rPr>
              <w:t>4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6947EC">
              <w:rPr>
                <w:rFonts w:ascii="Times New Roman" w:hAnsi="Times New Roman"/>
                <w:sz w:val="28"/>
                <w:szCs w:val="28"/>
              </w:rPr>
              <w:t>а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, чел./рублей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которым было отказано в установке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голограммы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 xml:space="preserve"> в имеющуюся на руках медицинскую книжку, чел.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1A3285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285">
              <w:rPr>
                <w:rFonts w:ascii="Times New Roman" w:hAnsi="Times New Roman"/>
                <w:sz w:val="28"/>
                <w:szCs w:val="28"/>
              </w:rPr>
              <w:t xml:space="preserve">Количество работников, которым по результатам прокурорской проверки или по личным обращениям в прокуратуру и др. надзорные органы, либо по результатам профсоюзных действий долги за медосмотры были </w:t>
            </w:r>
            <w:r w:rsidRPr="001A3285">
              <w:rPr>
                <w:rFonts w:ascii="Times New Roman" w:hAnsi="Times New Roman"/>
                <w:b/>
                <w:sz w:val="28"/>
                <w:szCs w:val="28"/>
              </w:rPr>
              <w:t>погашены</w:t>
            </w:r>
            <w:r w:rsidRPr="001A3285">
              <w:rPr>
                <w:rFonts w:ascii="Times New Roman" w:hAnsi="Times New Roman"/>
                <w:sz w:val="28"/>
                <w:szCs w:val="28"/>
              </w:rPr>
              <w:t>, чел. (указать, за какие годы произведены выплаты)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1A3285" w:rsidP="001A3285">
            <w:pPr>
              <w:pStyle w:val="af0"/>
              <w:numPr>
                <w:ilvl w:val="0"/>
                <w:numId w:val="8"/>
              </w:num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63F64" w:rsidRPr="001A3285">
              <w:rPr>
                <w:rFonts w:ascii="Times New Roman" w:hAnsi="Times New Roman"/>
                <w:sz w:val="28"/>
                <w:szCs w:val="28"/>
              </w:rPr>
              <w:t>Общая сумма долга на сегодняшний день (если имеется) перед работниками, руб.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1A3285" w:rsidP="001A3285">
            <w:pPr>
              <w:pStyle w:val="af0"/>
              <w:numPr>
                <w:ilvl w:val="0"/>
                <w:numId w:val="8"/>
              </w:num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F64" w:rsidRPr="001A3285">
              <w:rPr>
                <w:rFonts w:ascii="Times New Roman" w:hAnsi="Times New Roman"/>
                <w:sz w:val="28"/>
                <w:szCs w:val="28"/>
              </w:rPr>
              <w:t>Средняя стоимость периодического медосмотра, руб.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1A3285" w:rsidP="001A3285">
            <w:pPr>
              <w:pStyle w:val="af0"/>
              <w:numPr>
                <w:ilvl w:val="0"/>
                <w:numId w:val="8"/>
              </w:num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F64" w:rsidRPr="001A3285">
              <w:rPr>
                <w:rFonts w:ascii="Times New Roman" w:hAnsi="Times New Roman"/>
                <w:sz w:val="28"/>
                <w:szCs w:val="28"/>
              </w:rPr>
              <w:t>Средняя стоимость психиатрического освидетельствования, руб.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285" w:rsidRPr="001A3285" w:rsidTr="00863F64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939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1A3285" w:rsidP="006947EC">
            <w:pPr>
              <w:pStyle w:val="af0"/>
              <w:numPr>
                <w:ilvl w:val="0"/>
                <w:numId w:val="8"/>
              </w:num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F64" w:rsidRPr="001A3285">
              <w:rPr>
                <w:rFonts w:ascii="Times New Roman" w:hAnsi="Times New Roman"/>
                <w:sz w:val="28"/>
                <w:szCs w:val="28"/>
              </w:rPr>
              <w:t xml:space="preserve">Заложены ли средства на прохождение работниками медосмотров в </w:t>
            </w:r>
            <w:r w:rsidR="00863F64" w:rsidRPr="001A3285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  <w:r w:rsidR="00863F64" w:rsidRPr="001A328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947EC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863F64" w:rsidRPr="001A3285">
              <w:rPr>
                <w:rFonts w:ascii="Times New Roman" w:hAnsi="Times New Roman"/>
                <w:sz w:val="28"/>
                <w:szCs w:val="28"/>
              </w:rPr>
              <w:t xml:space="preserve"> года? (да/нет)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863F64" w:rsidRPr="001A3285" w:rsidRDefault="00863F64" w:rsidP="00863F64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F64" w:rsidRPr="001A3285" w:rsidRDefault="00863F64" w:rsidP="004902B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367E" w:rsidRPr="001A3285" w:rsidRDefault="00A3367E" w:rsidP="001A328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3285">
        <w:rPr>
          <w:rFonts w:ascii="Times New Roman" w:hAnsi="Times New Roman"/>
          <w:sz w:val="28"/>
          <w:szCs w:val="28"/>
        </w:rPr>
        <w:t>Отдельно необходимо указать случаи работы в образовательн</w:t>
      </w:r>
      <w:r w:rsidR="001A3285">
        <w:rPr>
          <w:rFonts w:ascii="Times New Roman" w:hAnsi="Times New Roman"/>
          <w:sz w:val="28"/>
          <w:szCs w:val="28"/>
        </w:rPr>
        <w:t xml:space="preserve">ой </w:t>
      </w:r>
      <w:r w:rsidRPr="001A3285">
        <w:rPr>
          <w:rFonts w:ascii="Times New Roman" w:hAnsi="Times New Roman"/>
          <w:sz w:val="28"/>
          <w:szCs w:val="28"/>
        </w:rPr>
        <w:t>организаци</w:t>
      </w:r>
      <w:r w:rsidR="001A3285">
        <w:rPr>
          <w:rFonts w:ascii="Times New Roman" w:hAnsi="Times New Roman"/>
          <w:sz w:val="28"/>
          <w:szCs w:val="28"/>
        </w:rPr>
        <w:t>и</w:t>
      </w:r>
      <w:r w:rsidRPr="001A3285">
        <w:rPr>
          <w:rFonts w:ascii="Times New Roman" w:hAnsi="Times New Roman"/>
          <w:sz w:val="28"/>
          <w:szCs w:val="28"/>
        </w:rPr>
        <w:t xml:space="preserve"> сотрудников без прохождения медосмотров, а также случаи, когда бухгалтери</w:t>
      </w:r>
      <w:r w:rsidR="001A3285">
        <w:rPr>
          <w:rFonts w:ascii="Times New Roman" w:hAnsi="Times New Roman"/>
          <w:sz w:val="28"/>
          <w:szCs w:val="28"/>
        </w:rPr>
        <w:t>я</w:t>
      </w:r>
      <w:r w:rsidRPr="001A3285">
        <w:rPr>
          <w:rFonts w:ascii="Times New Roman" w:hAnsi="Times New Roman"/>
          <w:sz w:val="28"/>
          <w:szCs w:val="28"/>
        </w:rPr>
        <w:t xml:space="preserve"> образовательн</w:t>
      </w:r>
      <w:r w:rsidR="001A3285">
        <w:rPr>
          <w:rFonts w:ascii="Times New Roman" w:hAnsi="Times New Roman"/>
          <w:sz w:val="28"/>
          <w:szCs w:val="28"/>
        </w:rPr>
        <w:t xml:space="preserve">ой </w:t>
      </w:r>
      <w:r w:rsidRPr="001A3285">
        <w:rPr>
          <w:rFonts w:ascii="Times New Roman" w:hAnsi="Times New Roman"/>
          <w:sz w:val="28"/>
          <w:szCs w:val="28"/>
        </w:rPr>
        <w:t>организаци</w:t>
      </w:r>
      <w:r w:rsidR="001A3285">
        <w:rPr>
          <w:rFonts w:ascii="Times New Roman" w:hAnsi="Times New Roman"/>
          <w:sz w:val="28"/>
          <w:szCs w:val="28"/>
        </w:rPr>
        <w:t>и</w:t>
      </w:r>
      <w:r w:rsidRPr="001A3285">
        <w:rPr>
          <w:rFonts w:ascii="Times New Roman" w:hAnsi="Times New Roman"/>
          <w:sz w:val="28"/>
          <w:szCs w:val="28"/>
        </w:rPr>
        <w:t xml:space="preserve"> не принимают копии платёжных документов для последующего погашения долга. Привести примеры обоснований подобных неправомерных  отказов. Если была проведена проверка силами прокуратуры, то указать ее результаты и проблемы, связанные с выплатами или невыплатами долгов за пройденные медосмотры работникам образовательн</w:t>
      </w:r>
      <w:r w:rsidR="001A3285">
        <w:rPr>
          <w:rFonts w:ascii="Times New Roman" w:hAnsi="Times New Roman"/>
          <w:sz w:val="28"/>
          <w:szCs w:val="28"/>
        </w:rPr>
        <w:t xml:space="preserve">ого </w:t>
      </w:r>
      <w:r w:rsidRPr="001A3285">
        <w:rPr>
          <w:rFonts w:ascii="Times New Roman" w:hAnsi="Times New Roman"/>
          <w:sz w:val="28"/>
          <w:szCs w:val="28"/>
        </w:rPr>
        <w:t>учреждени</w:t>
      </w:r>
      <w:r w:rsidR="001A3285">
        <w:rPr>
          <w:rFonts w:ascii="Times New Roman" w:hAnsi="Times New Roman"/>
          <w:sz w:val="28"/>
          <w:szCs w:val="28"/>
        </w:rPr>
        <w:t>я</w:t>
      </w:r>
      <w:r w:rsidRPr="001A3285">
        <w:rPr>
          <w:rFonts w:ascii="Times New Roman" w:hAnsi="Times New Roman"/>
          <w:sz w:val="28"/>
          <w:szCs w:val="28"/>
        </w:rPr>
        <w:t>.</w:t>
      </w:r>
    </w:p>
    <w:p w:rsidR="004902B8" w:rsidRPr="001A3285" w:rsidRDefault="004902B8" w:rsidP="00D41523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A3285" w:rsidRPr="001A3285" w:rsidRDefault="001A3285" w:rsidP="00D41523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 xml:space="preserve">Уполномоченный по охране труда от Профсоюза </w:t>
      </w: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>(Председатель первичной профсоюзной организации</w:t>
      </w:r>
      <w:r w:rsidRPr="001A3285">
        <w:rPr>
          <w:rFonts w:ascii="Times New Roman" w:hAnsi="Times New Roman" w:cs="Times New Roman"/>
          <w:sz w:val="28"/>
          <w:szCs w:val="28"/>
          <w:lang w:bidi="en-US"/>
        </w:rPr>
        <w:tab/>
        <w:t>)</w:t>
      </w:r>
    </w:p>
    <w:p w:rsid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 xml:space="preserve">_____________ _____________________________________________________ </w:t>
      </w:r>
    </w:p>
    <w:p w:rsidR="001A3285" w:rsidRPr="001A3285" w:rsidRDefault="001A3285" w:rsidP="001A328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1A3285">
        <w:rPr>
          <w:rFonts w:ascii="Times New Roman" w:hAnsi="Times New Roman" w:cs="Times New Roman"/>
          <w:i/>
          <w:sz w:val="24"/>
          <w:szCs w:val="24"/>
          <w:lang w:bidi="en-US"/>
        </w:rPr>
        <w:t xml:space="preserve">(подпись)                           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 w:rsidRPr="001A3285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(ФИО полностью)                                       </w:t>
      </w: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A3285" w:rsidRPr="001A3285" w:rsidRDefault="001A3285" w:rsidP="001A3285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>Руководитель образовательно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й организации </w:t>
      </w: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>_____________ ________________________________________</w:t>
      </w:r>
    </w:p>
    <w:p w:rsidR="001A3285" w:rsidRPr="001A3285" w:rsidRDefault="001A3285" w:rsidP="001A3285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1A3285">
        <w:rPr>
          <w:rFonts w:ascii="Times New Roman" w:hAnsi="Times New Roman" w:cs="Times New Roman"/>
          <w:i/>
          <w:sz w:val="24"/>
          <w:szCs w:val="24"/>
          <w:lang w:bidi="en-US"/>
        </w:rPr>
        <w:t xml:space="preserve">(подпись)                             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ab/>
      </w:r>
      <w:r w:rsidRPr="001A3285">
        <w:rPr>
          <w:rFonts w:ascii="Times New Roman" w:hAnsi="Times New Roman" w:cs="Times New Roman"/>
          <w:i/>
          <w:sz w:val="24"/>
          <w:szCs w:val="24"/>
          <w:lang w:bidi="en-US"/>
        </w:rPr>
        <w:t xml:space="preserve">(ФИО полностью)                                       </w:t>
      </w: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A3285" w:rsidRPr="001A3285" w:rsidRDefault="001A3285" w:rsidP="001A3285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1A3285">
        <w:rPr>
          <w:rFonts w:ascii="Times New Roman" w:hAnsi="Times New Roman" w:cs="Times New Roman"/>
          <w:sz w:val="28"/>
          <w:szCs w:val="28"/>
          <w:lang w:bidi="en-US"/>
        </w:rPr>
        <w:t>МП</w:t>
      </w:r>
    </w:p>
    <w:p w:rsidR="001A3285" w:rsidRPr="001A3285" w:rsidRDefault="001A3285" w:rsidP="00D4152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1A3285" w:rsidRPr="00863F64" w:rsidRDefault="001A3285" w:rsidP="00D41523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</w:p>
    <w:sectPr w:rsidR="001A3285" w:rsidRPr="00863F64" w:rsidSect="001A3285">
      <w:footerReference w:type="default" r:id="rId8"/>
      <w:footerReference w:type="first" r:id="rId9"/>
      <w:pgSz w:w="11906" w:h="16838" w:code="9"/>
      <w:pgMar w:top="709" w:right="567" w:bottom="426" w:left="1701" w:header="720" w:footer="4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24" w:rsidRDefault="00426C24" w:rsidP="005C7E9B">
      <w:pPr>
        <w:spacing w:after="0" w:line="240" w:lineRule="auto"/>
      </w:pPr>
      <w:r>
        <w:separator/>
      </w:r>
    </w:p>
  </w:endnote>
  <w:endnote w:type="continuationSeparator" w:id="0">
    <w:p w:rsidR="00426C24" w:rsidRDefault="00426C24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8719"/>
      <w:docPartObj>
        <w:docPartGallery w:val="Page Numbers (Bottom of Page)"/>
        <w:docPartUnique/>
      </w:docPartObj>
    </w:sdtPr>
    <w:sdtEndPr/>
    <w:sdtContent>
      <w:p w:rsidR="006D5243" w:rsidRDefault="0080486E">
        <w:pPr>
          <w:pStyle w:val="ae"/>
          <w:jc w:val="right"/>
        </w:pPr>
        <w:r>
          <w:rPr>
            <w:noProof/>
          </w:rPr>
          <w:fldChar w:fldCharType="begin"/>
        </w:r>
        <w:r w:rsidR="002C669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47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243" w:rsidRDefault="006D524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8704"/>
      <w:docPartObj>
        <w:docPartGallery w:val="Page Numbers (Bottom of Page)"/>
        <w:docPartUnique/>
      </w:docPartObj>
    </w:sdtPr>
    <w:sdtEndPr/>
    <w:sdtContent>
      <w:p w:rsidR="006D5243" w:rsidRDefault="0080486E">
        <w:pPr>
          <w:pStyle w:val="ae"/>
          <w:jc w:val="right"/>
        </w:pPr>
        <w:r>
          <w:rPr>
            <w:noProof/>
          </w:rPr>
          <w:fldChar w:fldCharType="begin"/>
        </w:r>
        <w:r w:rsidR="002C669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5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243" w:rsidRDefault="006D524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24" w:rsidRDefault="00426C24" w:rsidP="005C7E9B">
      <w:pPr>
        <w:spacing w:after="0" w:line="240" w:lineRule="auto"/>
      </w:pPr>
      <w:r>
        <w:separator/>
      </w:r>
    </w:p>
  </w:footnote>
  <w:footnote w:type="continuationSeparator" w:id="0">
    <w:p w:rsidR="00426C24" w:rsidRDefault="00426C24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9626F"/>
    <w:multiLevelType w:val="hybridMultilevel"/>
    <w:tmpl w:val="18FE14B6"/>
    <w:lvl w:ilvl="0" w:tplc="D7A8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375A"/>
    <w:multiLevelType w:val="hybridMultilevel"/>
    <w:tmpl w:val="3F66AB5C"/>
    <w:lvl w:ilvl="0" w:tplc="8B907392">
      <w:start w:val="4"/>
      <w:numFmt w:val="bullet"/>
      <w:lvlText w:val=""/>
      <w:lvlJc w:val="left"/>
      <w:pPr>
        <w:ind w:left="1035" w:hanging="360"/>
      </w:pPr>
      <w:rPr>
        <w:rFonts w:ascii="Symbol" w:eastAsia="Lucida Sans Unicode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AB77F2"/>
    <w:multiLevelType w:val="hybridMultilevel"/>
    <w:tmpl w:val="3F66A1D8"/>
    <w:lvl w:ilvl="0" w:tplc="801C4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13BD"/>
    <w:rsid w:val="00001A56"/>
    <w:rsid w:val="000101C4"/>
    <w:rsid w:val="00010F4B"/>
    <w:rsid w:val="000268E6"/>
    <w:rsid w:val="00044EFE"/>
    <w:rsid w:val="00053898"/>
    <w:rsid w:val="0005402A"/>
    <w:rsid w:val="000543F9"/>
    <w:rsid w:val="00074D2A"/>
    <w:rsid w:val="00094956"/>
    <w:rsid w:val="000D0D15"/>
    <w:rsid w:val="000E2936"/>
    <w:rsid w:val="00101F82"/>
    <w:rsid w:val="0011123B"/>
    <w:rsid w:val="00120775"/>
    <w:rsid w:val="00120D69"/>
    <w:rsid w:val="00121092"/>
    <w:rsid w:val="001256D0"/>
    <w:rsid w:val="00141A62"/>
    <w:rsid w:val="00143163"/>
    <w:rsid w:val="00151C17"/>
    <w:rsid w:val="00152DDC"/>
    <w:rsid w:val="001707C6"/>
    <w:rsid w:val="0017324A"/>
    <w:rsid w:val="00193315"/>
    <w:rsid w:val="00195F06"/>
    <w:rsid w:val="001A095F"/>
    <w:rsid w:val="001A2EB4"/>
    <w:rsid w:val="001A3285"/>
    <w:rsid w:val="001D0CCF"/>
    <w:rsid w:val="001E3F57"/>
    <w:rsid w:val="001F79DB"/>
    <w:rsid w:val="00213929"/>
    <w:rsid w:val="002161AA"/>
    <w:rsid w:val="002269CA"/>
    <w:rsid w:val="00241213"/>
    <w:rsid w:val="00252B09"/>
    <w:rsid w:val="00271BA4"/>
    <w:rsid w:val="00273CF5"/>
    <w:rsid w:val="00285881"/>
    <w:rsid w:val="002A19E0"/>
    <w:rsid w:val="002A2D4E"/>
    <w:rsid w:val="002B6FC2"/>
    <w:rsid w:val="002C6691"/>
    <w:rsid w:val="002D6F80"/>
    <w:rsid w:val="002E3E79"/>
    <w:rsid w:val="002E59A0"/>
    <w:rsid w:val="003203A2"/>
    <w:rsid w:val="00320DD6"/>
    <w:rsid w:val="00322996"/>
    <w:rsid w:val="00337D81"/>
    <w:rsid w:val="00342827"/>
    <w:rsid w:val="0038371D"/>
    <w:rsid w:val="003A4AA4"/>
    <w:rsid w:val="003A6250"/>
    <w:rsid w:val="003B1C13"/>
    <w:rsid w:val="003B6D5B"/>
    <w:rsid w:val="003D2DA1"/>
    <w:rsid w:val="003D4810"/>
    <w:rsid w:val="00412CF9"/>
    <w:rsid w:val="00415ED6"/>
    <w:rsid w:val="00426C24"/>
    <w:rsid w:val="004354D0"/>
    <w:rsid w:val="0045388B"/>
    <w:rsid w:val="004900C9"/>
    <w:rsid w:val="004902B8"/>
    <w:rsid w:val="00493368"/>
    <w:rsid w:val="00494A76"/>
    <w:rsid w:val="004A22F6"/>
    <w:rsid w:val="004C4AF4"/>
    <w:rsid w:val="004C7D31"/>
    <w:rsid w:val="004D66AF"/>
    <w:rsid w:val="004E783E"/>
    <w:rsid w:val="004F539C"/>
    <w:rsid w:val="005108DD"/>
    <w:rsid w:val="00515B6F"/>
    <w:rsid w:val="005264CF"/>
    <w:rsid w:val="00527966"/>
    <w:rsid w:val="005342D6"/>
    <w:rsid w:val="005362E5"/>
    <w:rsid w:val="0054280A"/>
    <w:rsid w:val="00562B7F"/>
    <w:rsid w:val="00564DF8"/>
    <w:rsid w:val="00566A7F"/>
    <w:rsid w:val="00574583"/>
    <w:rsid w:val="005844B1"/>
    <w:rsid w:val="005927CA"/>
    <w:rsid w:val="005C53C2"/>
    <w:rsid w:val="005C7E9B"/>
    <w:rsid w:val="005E090C"/>
    <w:rsid w:val="0062206C"/>
    <w:rsid w:val="00630FBE"/>
    <w:rsid w:val="00635BE4"/>
    <w:rsid w:val="006424ED"/>
    <w:rsid w:val="00642C90"/>
    <w:rsid w:val="00647043"/>
    <w:rsid w:val="00652881"/>
    <w:rsid w:val="0065428A"/>
    <w:rsid w:val="00663A40"/>
    <w:rsid w:val="006757CD"/>
    <w:rsid w:val="00676C85"/>
    <w:rsid w:val="0067775C"/>
    <w:rsid w:val="00684A86"/>
    <w:rsid w:val="006947EC"/>
    <w:rsid w:val="006A4241"/>
    <w:rsid w:val="006A507D"/>
    <w:rsid w:val="006D4539"/>
    <w:rsid w:val="006D5004"/>
    <w:rsid w:val="006D5243"/>
    <w:rsid w:val="006F50AE"/>
    <w:rsid w:val="006F6F63"/>
    <w:rsid w:val="007269AB"/>
    <w:rsid w:val="00742A89"/>
    <w:rsid w:val="007462B0"/>
    <w:rsid w:val="00764514"/>
    <w:rsid w:val="007713FB"/>
    <w:rsid w:val="00780715"/>
    <w:rsid w:val="0078577A"/>
    <w:rsid w:val="007A511A"/>
    <w:rsid w:val="007D5561"/>
    <w:rsid w:val="0080247F"/>
    <w:rsid w:val="0080486E"/>
    <w:rsid w:val="0080525E"/>
    <w:rsid w:val="00807087"/>
    <w:rsid w:val="008170A4"/>
    <w:rsid w:val="00831535"/>
    <w:rsid w:val="00863625"/>
    <w:rsid w:val="00863F64"/>
    <w:rsid w:val="00876579"/>
    <w:rsid w:val="00895998"/>
    <w:rsid w:val="008A04D8"/>
    <w:rsid w:val="008B118B"/>
    <w:rsid w:val="008B5308"/>
    <w:rsid w:val="00905253"/>
    <w:rsid w:val="009138E8"/>
    <w:rsid w:val="00913B4A"/>
    <w:rsid w:val="00926438"/>
    <w:rsid w:val="00935457"/>
    <w:rsid w:val="009671D0"/>
    <w:rsid w:val="00967D61"/>
    <w:rsid w:val="0097257A"/>
    <w:rsid w:val="009756C4"/>
    <w:rsid w:val="00986A55"/>
    <w:rsid w:val="0099023A"/>
    <w:rsid w:val="009A2DF9"/>
    <w:rsid w:val="009B1713"/>
    <w:rsid w:val="009B2762"/>
    <w:rsid w:val="009B38EA"/>
    <w:rsid w:val="009C2B77"/>
    <w:rsid w:val="009D1192"/>
    <w:rsid w:val="009D2B16"/>
    <w:rsid w:val="00A0489C"/>
    <w:rsid w:val="00A04B9A"/>
    <w:rsid w:val="00A13D5C"/>
    <w:rsid w:val="00A265DD"/>
    <w:rsid w:val="00A31AAB"/>
    <w:rsid w:val="00A3367E"/>
    <w:rsid w:val="00A33719"/>
    <w:rsid w:val="00A45BC5"/>
    <w:rsid w:val="00A46CAC"/>
    <w:rsid w:val="00A46E8B"/>
    <w:rsid w:val="00A50F6D"/>
    <w:rsid w:val="00A53A0C"/>
    <w:rsid w:val="00A61130"/>
    <w:rsid w:val="00A625AF"/>
    <w:rsid w:val="00A83714"/>
    <w:rsid w:val="00A85208"/>
    <w:rsid w:val="00A85232"/>
    <w:rsid w:val="00A96AF6"/>
    <w:rsid w:val="00A9787B"/>
    <w:rsid w:val="00AA559B"/>
    <w:rsid w:val="00AB1A73"/>
    <w:rsid w:val="00AB2388"/>
    <w:rsid w:val="00AC0FFE"/>
    <w:rsid w:val="00AC2BBE"/>
    <w:rsid w:val="00AC5F8D"/>
    <w:rsid w:val="00AD155F"/>
    <w:rsid w:val="00AD7DA7"/>
    <w:rsid w:val="00B058D1"/>
    <w:rsid w:val="00B07A87"/>
    <w:rsid w:val="00B23C8E"/>
    <w:rsid w:val="00B23FC0"/>
    <w:rsid w:val="00B326F3"/>
    <w:rsid w:val="00B32BD3"/>
    <w:rsid w:val="00B36611"/>
    <w:rsid w:val="00B43EE2"/>
    <w:rsid w:val="00B55E97"/>
    <w:rsid w:val="00B61C8C"/>
    <w:rsid w:val="00B62A4B"/>
    <w:rsid w:val="00B7071D"/>
    <w:rsid w:val="00B9689D"/>
    <w:rsid w:val="00BA6E40"/>
    <w:rsid w:val="00BC1BEE"/>
    <w:rsid w:val="00BC1C34"/>
    <w:rsid w:val="00BC6099"/>
    <w:rsid w:val="00BC7825"/>
    <w:rsid w:val="00BD130A"/>
    <w:rsid w:val="00BD1920"/>
    <w:rsid w:val="00BD474C"/>
    <w:rsid w:val="00BE08B3"/>
    <w:rsid w:val="00BF3E82"/>
    <w:rsid w:val="00C05005"/>
    <w:rsid w:val="00C244F3"/>
    <w:rsid w:val="00C52FF0"/>
    <w:rsid w:val="00C82150"/>
    <w:rsid w:val="00C86FA9"/>
    <w:rsid w:val="00CA0934"/>
    <w:rsid w:val="00CA3D31"/>
    <w:rsid w:val="00CC3CD5"/>
    <w:rsid w:val="00CE2449"/>
    <w:rsid w:val="00D36637"/>
    <w:rsid w:val="00D366FF"/>
    <w:rsid w:val="00D41523"/>
    <w:rsid w:val="00D41C0F"/>
    <w:rsid w:val="00D44B9E"/>
    <w:rsid w:val="00D64331"/>
    <w:rsid w:val="00D6639D"/>
    <w:rsid w:val="00D6743A"/>
    <w:rsid w:val="00D92804"/>
    <w:rsid w:val="00E10298"/>
    <w:rsid w:val="00E2172C"/>
    <w:rsid w:val="00E2330F"/>
    <w:rsid w:val="00E37488"/>
    <w:rsid w:val="00E45E6A"/>
    <w:rsid w:val="00E467DF"/>
    <w:rsid w:val="00E5504A"/>
    <w:rsid w:val="00E55849"/>
    <w:rsid w:val="00E60655"/>
    <w:rsid w:val="00E73072"/>
    <w:rsid w:val="00E76521"/>
    <w:rsid w:val="00E778C9"/>
    <w:rsid w:val="00E97CDF"/>
    <w:rsid w:val="00ED38EF"/>
    <w:rsid w:val="00EE0E5A"/>
    <w:rsid w:val="00EE3426"/>
    <w:rsid w:val="00EF2A70"/>
    <w:rsid w:val="00F062F7"/>
    <w:rsid w:val="00F117DF"/>
    <w:rsid w:val="00F22E2A"/>
    <w:rsid w:val="00F24E03"/>
    <w:rsid w:val="00F52924"/>
    <w:rsid w:val="00F8225F"/>
    <w:rsid w:val="00F84965"/>
    <w:rsid w:val="00F86B35"/>
    <w:rsid w:val="00FA3DCC"/>
    <w:rsid w:val="00FA50EA"/>
    <w:rsid w:val="00FC0AF1"/>
    <w:rsid w:val="00FC0D13"/>
    <w:rsid w:val="00FC375C"/>
    <w:rsid w:val="00FC77DE"/>
    <w:rsid w:val="00FD037B"/>
    <w:rsid w:val="00FD77DC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514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76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514"/>
    <w:rPr>
      <w:rFonts w:cs="Calibri"/>
      <w:sz w:val="22"/>
      <w:szCs w:val="22"/>
      <w:lang w:eastAsia="ar-SA"/>
    </w:rPr>
  </w:style>
  <w:style w:type="paragraph" w:styleId="af0">
    <w:name w:val="List Paragraph"/>
    <w:basedOn w:val="a"/>
    <w:uiPriority w:val="34"/>
    <w:qFormat/>
    <w:rsid w:val="001A3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7</cp:revision>
  <cp:lastPrinted>2022-03-28T08:19:00Z</cp:lastPrinted>
  <dcterms:created xsi:type="dcterms:W3CDTF">2022-03-28T02:15:00Z</dcterms:created>
  <dcterms:modified xsi:type="dcterms:W3CDTF">2024-07-10T07:57:00Z</dcterms:modified>
</cp:coreProperties>
</file>